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A941F3" w:rsidRPr="00B12C3C" w:rsidTr="007A5EF2">
        <w:trPr>
          <w:trHeight w:val="778"/>
        </w:trPr>
        <w:tc>
          <w:tcPr>
            <w:tcW w:w="2736" w:type="dxa"/>
            <w:vAlign w:val="center"/>
          </w:tcPr>
          <w:p w:rsidR="00A941F3" w:rsidRDefault="008B48D4" w:rsidP="007A5EF2">
            <w:pPr>
              <w:spacing w:before="100" w:beforeAutospacing="1"/>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sidR="00A941F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A941F3" w:rsidRPr="00291562">
              <w:rPr>
                <w:rFonts w:ascii="Arial" w:hAnsi="Arial" w:cs="Arial"/>
                <w:sz w:val="20"/>
                <w:szCs w:val="20"/>
              </w:rPr>
              <w:t xml:space="preserve">  </w:t>
            </w:r>
            <w:r w:rsidR="00A941F3">
              <w:rPr>
                <w:rFonts w:ascii="Arial" w:hAnsi="Arial" w:cs="Arial"/>
                <w:b/>
                <w:sz w:val="20"/>
                <w:szCs w:val="20"/>
              </w:rPr>
              <w:t>EIS Market</w:t>
            </w:r>
          </w:p>
          <w:p w:rsidR="00A941F3" w:rsidRPr="00B12C3C" w:rsidRDefault="00A941F3" w:rsidP="007A5EF2">
            <w:pPr>
              <w:rPr>
                <w:rFonts w:ascii="Arial" w:hAnsi="Arial" w:cs="Arial"/>
                <w:b/>
                <w:sz w:val="20"/>
                <w:szCs w:val="20"/>
              </w:rPr>
            </w:pPr>
          </w:p>
          <w:p w:rsidR="00A941F3" w:rsidRPr="00B12C3C" w:rsidRDefault="00806A7D" w:rsidP="007A5EF2">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A941F3" w:rsidRPr="00B12C3C">
              <w:rPr>
                <w:rFonts w:ascii="Arial" w:hAnsi="Arial" w:cs="Arial"/>
                <w:sz w:val="20"/>
                <w:szCs w:val="20"/>
              </w:rPr>
              <w:t xml:space="preserve">  </w:t>
            </w:r>
            <w:r w:rsidR="00A941F3" w:rsidRPr="00B12C3C">
              <w:rPr>
                <w:rFonts w:ascii="Arial" w:hAnsi="Arial" w:cs="Arial"/>
                <w:b/>
                <w:sz w:val="20"/>
                <w:szCs w:val="20"/>
              </w:rPr>
              <w:t>I</w:t>
            </w:r>
            <w:r w:rsidR="00A941F3">
              <w:rPr>
                <w:rFonts w:ascii="Arial" w:hAnsi="Arial" w:cs="Arial"/>
                <w:b/>
                <w:sz w:val="20"/>
                <w:szCs w:val="20"/>
              </w:rPr>
              <w:t>ntegrated Marketplace</w:t>
            </w:r>
          </w:p>
        </w:tc>
      </w:tr>
    </w:tbl>
    <w:p w:rsidR="007E25EC" w:rsidRPr="009940D7" w:rsidRDefault="008B48D4" w:rsidP="009940D7">
      <w:pPr>
        <w:spacing w:line="480" w:lineRule="auto"/>
        <w:rPr>
          <w:rFonts w:ascii="Arial" w:hAnsi="Arial" w:cs="Arial"/>
          <w:sz w:val="20"/>
          <w:szCs w:val="20"/>
        </w:rPr>
      </w:pPr>
      <w:r w:rsidRPr="008B48D4">
        <w:rPr>
          <w:noProof/>
          <w:sz w:val="10"/>
          <w:szCs w:val="10"/>
        </w:rPr>
        <w:pict>
          <v:shapetype id="_x0000_t202" coordsize="21600,21600" o:spt="202" path="m,l,21600r21600,l21600,xe">
            <v:stroke joinstyle="miter"/>
            <v:path gradientshapeok="t" o:connecttype="rect"/>
          </v:shapetype>
          <v:shape id="_x0000_s1026" type="#_x0000_t202" style="position:absolute;margin-left:-29.5pt;margin-top:-42.5pt;width:160pt;height:59.05pt;z-index:1;mso-wrap-style:none;mso-position-horizontal-relative:text;mso-position-vertical-relative:text" filled="f" stroked="f">
            <v:textbox style="mso-next-textbox:#_x0000_s1026;mso-fit-shape-to-text:t">
              <w:txbxContent>
                <w:p w:rsidR="004F0BED" w:rsidRDefault="008B48D4">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51.75pt">
                        <v:imagedata r:id="rId8" o:title="SPP_logo_red200"/>
                      </v:shape>
                    </w:pict>
                  </w:r>
                </w:p>
              </w:txbxContent>
            </v:textbox>
          </v:shape>
        </w:pict>
      </w:r>
    </w:p>
    <w:p w:rsidR="007A5C50" w:rsidRPr="007A5C50" w:rsidRDefault="007A5C50" w:rsidP="00A65EE7">
      <w:pPr>
        <w:spacing w:line="276" w:lineRule="auto"/>
        <w:jc w:val="center"/>
        <w:rPr>
          <w:rFonts w:ascii="Arial" w:hAnsi="Arial" w:cs="Arial"/>
          <w:b/>
          <w:sz w:val="20"/>
          <w:szCs w:val="20"/>
        </w:rPr>
      </w:pPr>
    </w:p>
    <w:p w:rsidR="00437C92" w:rsidRPr="005F60FB" w:rsidRDefault="00272B89" w:rsidP="00A65EE7">
      <w:pPr>
        <w:spacing w:line="276" w:lineRule="auto"/>
        <w:jc w:val="center"/>
        <w:rPr>
          <w:rFonts w:ascii="Arial" w:hAnsi="Arial" w:cs="Arial"/>
          <w:b/>
        </w:rPr>
      </w:pPr>
      <w:r>
        <w:rPr>
          <w:rFonts w:ascii="Arial" w:hAnsi="Arial" w:cs="Arial"/>
          <w:b/>
        </w:rPr>
        <w:t>PRR Comments</w:t>
      </w:r>
    </w:p>
    <w:p w:rsidR="00A320AA"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160"/>
        <w:gridCol w:w="720"/>
        <w:gridCol w:w="6840"/>
      </w:tblGrid>
      <w:tr w:rsidR="00D545F2" w:rsidRPr="00D545F2" w:rsidTr="00772CB5">
        <w:trPr>
          <w:jc w:val="center"/>
        </w:trPr>
        <w:tc>
          <w:tcPr>
            <w:tcW w:w="720" w:type="dxa"/>
            <w:tcBorders>
              <w:bottom w:val="single" w:sz="4" w:space="0" w:color="auto"/>
            </w:tcBorders>
            <w:shd w:val="clear" w:color="auto" w:fill="FFFFFF"/>
            <w:vAlign w:val="center"/>
          </w:tcPr>
          <w:p w:rsidR="00D545F2" w:rsidRPr="00D545F2" w:rsidRDefault="00D545F2" w:rsidP="00772CB5">
            <w:pPr>
              <w:pStyle w:val="Header"/>
              <w:jc w:val="center"/>
              <w:rPr>
                <w:rFonts w:ascii="Arial" w:hAnsi="Arial" w:cs="Arial"/>
                <w:b/>
                <w:sz w:val="20"/>
                <w:szCs w:val="20"/>
              </w:rPr>
            </w:pPr>
            <w:r w:rsidRPr="00D545F2">
              <w:rPr>
                <w:rFonts w:ascii="Arial" w:hAnsi="Arial" w:cs="Arial"/>
                <w:b/>
                <w:sz w:val="20"/>
                <w:szCs w:val="20"/>
              </w:rPr>
              <w:t>PRR N</w:t>
            </w:r>
            <w:r w:rsidR="00772CB5">
              <w:rPr>
                <w:rFonts w:ascii="Arial" w:hAnsi="Arial" w:cs="Arial"/>
                <w:b/>
                <w:sz w:val="20"/>
                <w:szCs w:val="20"/>
              </w:rPr>
              <w:t>o.</w:t>
            </w:r>
          </w:p>
        </w:tc>
        <w:tc>
          <w:tcPr>
            <w:tcW w:w="2160" w:type="dxa"/>
            <w:tcBorders>
              <w:bottom w:val="single" w:sz="4" w:space="0" w:color="auto"/>
            </w:tcBorders>
            <w:vAlign w:val="center"/>
          </w:tcPr>
          <w:p w:rsidR="00D545F2" w:rsidRPr="00D545F2" w:rsidRDefault="00806A7D" w:rsidP="005B5D61">
            <w:pPr>
              <w:pStyle w:val="Header"/>
              <w:rPr>
                <w:rFonts w:ascii="Arial" w:hAnsi="Arial" w:cs="Arial"/>
                <w:sz w:val="20"/>
                <w:szCs w:val="20"/>
              </w:rPr>
            </w:pPr>
            <w:r>
              <w:rPr>
                <w:rFonts w:ascii="Arial" w:hAnsi="Arial" w:cs="Arial"/>
                <w:sz w:val="20"/>
                <w:szCs w:val="20"/>
              </w:rPr>
              <w:t>Marketplace-PRR36</w:t>
            </w:r>
          </w:p>
        </w:tc>
        <w:tc>
          <w:tcPr>
            <w:tcW w:w="720" w:type="dxa"/>
            <w:tcBorders>
              <w:bottom w:val="single" w:sz="4" w:space="0" w:color="auto"/>
            </w:tcBorders>
            <w:shd w:val="clear" w:color="auto" w:fill="FFFFFF"/>
            <w:vAlign w:val="center"/>
          </w:tcPr>
          <w:p w:rsidR="00D545F2" w:rsidRPr="00D545F2" w:rsidRDefault="00D545F2" w:rsidP="006D6A9F">
            <w:pPr>
              <w:pStyle w:val="Header"/>
              <w:jc w:val="center"/>
              <w:rPr>
                <w:rFonts w:ascii="Arial" w:hAnsi="Arial" w:cs="Arial"/>
                <w:b/>
                <w:sz w:val="20"/>
                <w:szCs w:val="20"/>
              </w:rPr>
            </w:pPr>
            <w:r w:rsidRPr="00D545F2">
              <w:rPr>
                <w:rFonts w:ascii="Arial" w:hAnsi="Arial" w:cs="Arial"/>
                <w:b/>
                <w:sz w:val="20"/>
                <w:szCs w:val="20"/>
              </w:rPr>
              <w:t>PRR Title</w:t>
            </w:r>
          </w:p>
        </w:tc>
        <w:tc>
          <w:tcPr>
            <w:tcW w:w="6840" w:type="dxa"/>
            <w:tcBorders>
              <w:bottom w:val="single" w:sz="4" w:space="0" w:color="auto"/>
            </w:tcBorders>
            <w:vAlign w:val="center"/>
          </w:tcPr>
          <w:p w:rsidR="00D545F2" w:rsidRPr="00D545F2" w:rsidRDefault="00806A7D" w:rsidP="005B5D61">
            <w:pPr>
              <w:pStyle w:val="Header"/>
              <w:rPr>
                <w:rFonts w:ascii="Arial" w:hAnsi="Arial" w:cs="Arial"/>
                <w:sz w:val="20"/>
                <w:szCs w:val="20"/>
              </w:rPr>
            </w:pPr>
            <w:r>
              <w:rPr>
                <w:rFonts w:ascii="Arial" w:hAnsi="Arial" w:cs="Arial"/>
                <w:sz w:val="20"/>
                <w:szCs w:val="20"/>
              </w:rPr>
              <w:t>Clarification of Unit Commitment Instructions and Postings</w:t>
            </w:r>
          </w:p>
        </w:tc>
      </w:tr>
      <w:tr w:rsidR="00D545F2" w:rsidRPr="00D545F2" w:rsidTr="00A53FAF">
        <w:trPr>
          <w:trHeight w:val="413"/>
          <w:jc w:val="center"/>
        </w:trPr>
        <w:tc>
          <w:tcPr>
            <w:tcW w:w="2880" w:type="dxa"/>
            <w:gridSpan w:val="2"/>
            <w:tcBorders>
              <w:top w:val="nil"/>
              <w:left w:val="nil"/>
              <w:bottom w:val="single" w:sz="4" w:space="0" w:color="auto"/>
              <w:right w:val="nil"/>
            </w:tcBorders>
            <w:vAlign w:val="center"/>
          </w:tcPr>
          <w:p w:rsidR="00D545F2" w:rsidRPr="00D545F2" w:rsidRDefault="00D545F2" w:rsidP="005B5D61">
            <w:pPr>
              <w:pStyle w:val="NormalArial"/>
              <w:rPr>
                <w:rFonts w:cs="Arial"/>
                <w:sz w:val="20"/>
                <w:szCs w:val="20"/>
              </w:rPr>
            </w:pPr>
          </w:p>
        </w:tc>
        <w:tc>
          <w:tcPr>
            <w:tcW w:w="7560" w:type="dxa"/>
            <w:gridSpan w:val="2"/>
            <w:tcBorders>
              <w:top w:val="single" w:sz="4" w:space="0" w:color="auto"/>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A53FAF">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D545F2" w:rsidP="005B5D61">
            <w:pPr>
              <w:pStyle w:val="Header"/>
              <w:rPr>
                <w:rFonts w:ascii="Arial" w:hAnsi="Arial" w:cs="Arial"/>
                <w:b/>
                <w:sz w:val="20"/>
                <w:szCs w:val="20"/>
              </w:rPr>
            </w:pPr>
            <w:r w:rsidRPr="00D545F2">
              <w:rPr>
                <w:rFonts w:ascii="Arial" w:hAnsi="Arial" w:cs="Arial"/>
                <w:b/>
                <w:sz w:val="20"/>
                <w:szCs w:val="20"/>
              </w:rP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806A7D" w:rsidP="00EB1DF9">
            <w:pPr>
              <w:pStyle w:val="NormalArial"/>
              <w:rPr>
                <w:rFonts w:cs="Arial"/>
                <w:sz w:val="20"/>
                <w:szCs w:val="20"/>
              </w:rPr>
            </w:pPr>
            <w:r>
              <w:rPr>
                <w:rFonts w:cs="Arial"/>
                <w:sz w:val="20"/>
                <w:szCs w:val="20"/>
              </w:rPr>
              <w:t>9/1</w:t>
            </w:r>
            <w:r w:rsidR="00EB1DF9">
              <w:rPr>
                <w:rFonts w:cs="Arial"/>
                <w:sz w:val="20"/>
                <w:szCs w:val="20"/>
              </w:rPr>
              <w:t>5</w:t>
            </w:r>
            <w:r>
              <w:rPr>
                <w:rFonts w:cs="Arial"/>
                <w:sz w:val="20"/>
                <w:szCs w:val="20"/>
              </w:rPr>
              <w:t>/2011</w:t>
            </w:r>
          </w:p>
        </w:tc>
      </w:tr>
      <w:tr w:rsidR="00D545F2" w:rsidRPr="00D545F2" w:rsidTr="00A53FAF">
        <w:trPr>
          <w:trHeight w:val="288"/>
          <w:jc w:val="center"/>
        </w:trPr>
        <w:tc>
          <w:tcPr>
            <w:tcW w:w="2880" w:type="dxa"/>
            <w:gridSpan w:val="2"/>
            <w:tcBorders>
              <w:top w:val="single" w:sz="4" w:space="0" w:color="auto"/>
              <w:left w:val="nil"/>
              <w:bottom w:val="nil"/>
              <w:right w:val="nil"/>
            </w:tcBorders>
            <w:shd w:val="clear" w:color="auto" w:fill="FFFFFF"/>
            <w:vAlign w:val="center"/>
          </w:tcPr>
          <w:p w:rsidR="00D545F2" w:rsidRPr="00D545F2" w:rsidRDefault="00D545F2" w:rsidP="005B5D61">
            <w:pPr>
              <w:pStyle w:val="NormalArial"/>
              <w:rPr>
                <w:rFonts w:cs="Arial"/>
                <w:sz w:val="20"/>
                <w:szCs w:val="20"/>
              </w:rPr>
            </w:pPr>
          </w:p>
        </w:tc>
        <w:tc>
          <w:tcPr>
            <w:tcW w:w="7560" w:type="dxa"/>
            <w:gridSpan w:val="2"/>
            <w:tcBorders>
              <w:top w:val="nil"/>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D33796">
        <w:trPr>
          <w:trHeight w:val="216"/>
          <w:jc w:val="center"/>
        </w:trPr>
        <w:tc>
          <w:tcPr>
            <w:tcW w:w="10440" w:type="dxa"/>
            <w:gridSpan w:val="4"/>
            <w:tcBorders>
              <w:top w:val="single" w:sz="4" w:space="0" w:color="auto"/>
            </w:tcBorders>
            <w:shd w:val="clear" w:color="auto" w:fill="FFFFFF"/>
            <w:vAlign w:val="center"/>
          </w:tcPr>
          <w:p w:rsidR="00D545F2" w:rsidRPr="00D545F2" w:rsidRDefault="00D545F2" w:rsidP="003E6569">
            <w:pPr>
              <w:pStyle w:val="Header"/>
              <w:jc w:val="center"/>
              <w:rPr>
                <w:rFonts w:ascii="Arial" w:hAnsi="Arial" w:cs="Arial"/>
                <w:b/>
                <w:sz w:val="20"/>
                <w:szCs w:val="20"/>
              </w:rPr>
            </w:pPr>
            <w:r w:rsidRPr="00D545F2">
              <w:rPr>
                <w:rFonts w:ascii="Arial" w:hAnsi="Arial" w:cs="Arial"/>
                <w:b/>
                <w:sz w:val="20"/>
                <w:szCs w:val="20"/>
              </w:rPr>
              <w:t>Submitter</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D545F2" w:rsidRPr="00D545F2" w:rsidRDefault="00806A7D" w:rsidP="005B5D61">
            <w:pPr>
              <w:pStyle w:val="NormalArial"/>
              <w:rPr>
                <w:rFonts w:cs="Arial"/>
                <w:sz w:val="20"/>
                <w:szCs w:val="20"/>
              </w:rPr>
            </w:pPr>
            <w:r>
              <w:rPr>
                <w:rFonts w:cs="Arial"/>
                <w:sz w:val="20"/>
                <w:szCs w:val="20"/>
              </w:rPr>
              <w:t>Carrie Simpson</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D545F2" w:rsidRPr="00D545F2" w:rsidRDefault="00806A7D" w:rsidP="005B5D61">
            <w:pPr>
              <w:pStyle w:val="NormalArial"/>
              <w:rPr>
                <w:rFonts w:cs="Arial"/>
                <w:sz w:val="20"/>
                <w:szCs w:val="20"/>
              </w:rPr>
            </w:pPr>
            <w:hyperlink r:id="rId9" w:history="1">
              <w:r w:rsidRPr="0032587A">
                <w:rPr>
                  <w:rStyle w:val="Hyperlink"/>
                  <w:rFonts w:cs="Arial"/>
                  <w:sz w:val="20"/>
                  <w:szCs w:val="20"/>
                </w:rPr>
                <w:t>csimpson@spp.org</w:t>
              </w:r>
            </w:hyperlink>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D545F2" w:rsidRPr="00D545F2" w:rsidRDefault="00806A7D" w:rsidP="005B5D61">
            <w:pPr>
              <w:pStyle w:val="NormalArial"/>
              <w:rPr>
                <w:rFonts w:cs="Arial"/>
                <w:sz w:val="20"/>
                <w:szCs w:val="20"/>
              </w:rPr>
            </w:pPr>
            <w:r>
              <w:rPr>
                <w:rFonts w:cs="Arial"/>
                <w:sz w:val="20"/>
                <w:szCs w:val="20"/>
              </w:rPr>
              <w:t>Southwest Power Pool</w:t>
            </w:r>
          </w:p>
        </w:tc>
      </w:tr>
      <w:tr w:rsidR="00D545F2" w:rsidRPr="00D545F2" w:rsidTr="00D33796">
        <w:trPr>
          <w:trHeight w:val="216"/>
          <w:jc w:val="center"/>
        </w:trPr>
        <w:tc>
          <w:tcPr>
            <w:tcW w:w="2880" w:type="dxa"/>
            <w:gridSpan w:val="2"/>
            <w:tcBorders>
              <w:bottom w:val="single" w:sz="4" w:space="0" w:color="auto"/>
            </w:tcBorders>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D545F2" w:rsidRPr="00D545F2" w:rsidRDefault="00806A7D" w:rsidP="00EB1DF9">
            <w:pPr>
              <w:pStyle w:val="NormalArial"/>
              <w:rPr>
                <w:rFonts w:cs="Arial"/>
                <w:sz w:val="20"/>
                <w:szCs w:val="20"/>
              </w:rPr>
            </w:pPr>
            <w:r>
              <w:rPr>
                <w:rFonts w:cs="Arial"/>
                <w:sz w:val="20"/>
                <w:szCs w:val="20"/>
              </w:rPr>
              <w:t>501</w:t>
            </w:r>
            <w:r w:rsidR="00EB1DF9">
              <w:rPr>
                <w:rFonts w:cs="Arial"/>
                <w:sz w:val="20"/>
                <w:szCs w:val="20"/>
              </w:rPr>
              <w:t>.</w:t>
            </w:r>
            <w:r>
              <w:rPr>
                <w:rFonts w:cs="Arial"/>
                <w:sz w:val="20"/>
                <w:szCs w:val="20"/>
              </w:rPr>
              <w:t>688</w:t>
            </w:r>
            <w:r w:rsidR="00EB1DF9">
              <w:rPr>
                <w:rFonts w:cs="Arial"/>
                <w:sz w:val="20"/>
                <w:szCs w:val="20"/>
              </w:rPr>
              <w:t>.</w:t>
            </w:r>
            <w:r>
              <w:rPr>
                <w:rFonts w:cs="Arial"/>
                <w:sz w:val="20"/>
                <w:szCs w:val="20"/>
              </w:rPr>
              <w:t>1757</w:t>
            </w:r>
          </w:p>
        </w:tc>
      </w:tr>
    </w:tbl>
    <w:p w:rsidR="00D545F2" w:rsidRPr="00D545F2" w:rsidRDefault="00D545F2" w:rsidP="00D545F2">
      <w:pPr>
        <w:pStyle w:val="NormalArial"/>
        <w:rPr>
          <w:rFonts w:cs="Arial"/>
          <w:color w:val="FF0000"/>
          <w:sz w:val="20"/>
          <w:szCs w:val="20"/>
        </w:rPr>
      </w:pPr>
    </w:p>
    <w:p w:rsidR="00D545F2" w:rsidRPr="00D545F2" w:rsidRDefault="00D545F2" w:rsidP="00D545F2">
      <w:pPr>
        <w:pStyle w:val="NormalArial"/>
        <w:rPr>
          <w:rFonts w:cs="Arial"/>
          <w:sz w:val="20"/>
          <w:szCs w:val="20"/>
        </w:rPr>
      </w:pPr>
    </w:p>
    <w:p w:rsidR="00D545F2" w:rsidRPr="00D545F2" w:rsidRDefault="00D545F2" w:rsidP="00D545F2">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Comments</w:t>
            </w:r>
          </w:p>
        </w:tc>
      </w:tr>
    </w:tbl>
    <w:p w:rsidR="003D2F9A" w:rsidRPr="00632164" w:rsidRDefault="003D2F9A" w:rsidP="00786195">
      <w:pPr>
        <w:pStyle w:val="BodyText"/>
        <w:rPr>
          <w:rFonts w:ascii="Arial" w:hAnsi="Arial" w:cs="Arial"/>
          <w:sz w:val="20"/>
          <w:szCs w:val="20"/>
        </w:rPr>
      </w:pPr>
    </w:p>
    <w:p w:rsidR="003D2F9A" w:rsidRPr="00632164" w:rsidRDefault="00806A7D" w:rsidP="00786195">
      <w:pPr>
        <w:pStyle w:val="BodyText"/>
        <w:rPr>
          <w:rFonts w:ascii="Arial" w:hAnsi="Arial" w:cs="Arial"/>
          <w:sz w:val="20"/>
          <w:szCs w:val="20"/>
        </w:rPr>
      </w:pPr>
      <w:r>
        <w:rPr>
          <w:rFonts w:ascii="Arial" w:hAnsi="Arial" w:cs="Arial"/>
          <w:sz w:val="20"/>
          <w:szCs w:val="20"/>
        </w:rPr>
        <w:t xml:space="preserve">These are comments are intended to clarify that the Reliability Unit Commitment algorithm is an advisory tool for SPP Operators and that Emergency Procedures will be performed in accordance with the Tariff and NERC standards.  The changes in this MPRR are intended to provide support to the SPP comments submitted for MPRR 26: Clarification of Process to Relieve Capacity Shortage or Surplus in SCUC.  The proposed changes are highlighted below in yellow.  </w:t>
      </w:r>
    </w:p>
    <w:p w:rsidR="00D545F2" w:rsidRPr="00D545F2" w:rsidRDefault="00D545F2" w:rsidP="00786195">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Revised Proposed Protocol Language</w:t>
            </w:r>
            <w:r w:rsidR="009F2FCB">
              <w:rPr>
                <w:rFonts w:ascii="Arial" w:hAnsi="Arial" w:cs="Arial"/>
                <w:b/>
                <w:sz w:val="20"/>
                <w:szCs w:val="20"/>
              </w:rPr>
              <w:t xml:space="preserve"> Revision</w:t>
            </w:r>
          </w:p>
        </w:tc>
      </w:tr>
    </w:tbl>
    <w:p w:rsidR="00806A7D" w:rsidRPr="00927A69" w:rsidRDefault="00806A7D" w:rsidP="00806A7D">
      <w:pPr>
        <w:pStyle w:val="Heading4"/>
        <w:rPr>
          <w:rFonts w:ascii="Times New Roman" w:hAnsi="Times New Roman"/>
          <w:sz w:val="24"/>
          <w:szCs w:val="24"/>
        </w:rPr>
      </w:pPr>
      <w:r w:rsidRPr="00927A69">
        <w:rPr>
          <w:rFonts w:ascii="Times New Roman" w:hAnsi="Times New Roman"/>
          <w:sz w:val="24"/>
          <w:szCs w:val="24"/>
        </w:rPr>
        <w:t>4.3.1.3</w:t>
      </w:r>
      <w:r w:rsidRPr="00927A69">
        <w:rPr>
          <w:rFonts w:ascii="Times New Roman" w:hAnsi="Times New Roman"/>
          <w:sz w:val="24"/>
          <w:szCs w:val="24"/>
        </w:rPr>
        <w:tab/>
        <w:t xml:space="preserve">DA Market Results </w:t>
      </w:r>
    </w:p>
    <w:p w:rsidR="00806A7D" w:rsidRPr="00BB3C8B" w:rsidRDefault="00806A7D" w:rsidP="00806A7D">
      <w:pPr>
        <w:pStyle w:val="ParaText"/>
        <w:rPr>
          <w:szCs w:val="24"/>
        </w:rPr>
      </w:pPr>
      <w:r>
        <w:rPr>
          <w:szCs w:val="24"/>
        </w:rPr>
        <w:t>N</w:t>
      </w:r>
      <w:r w:rsidRPr="00BB3C8B">
        <w:rPr>
          <w:szCs w:val="24"/>
        </w:rPr>
        <w:t xml:space="preserve">o later than </w:t>
      </w:r>
      <w:r>
        <w:rPr>
          <w:szCs w:val="24"/>
        </w:rPr>
        <w:t>1600 hours</w:t>
      </w:r>
      <w:r w:rsidRPr="00BB3C8B">
        <w:rPr>
          <w:szCs w:val="24"/>
        </w:rPr>
        <w:t xml:space="preserve"> Day-Ahead, </w:t>
      </w:r>
      <w:r>
        <w:rPr>
          <w:szCs w:val="24"/>
        </w:rPr>
        <w:t>SPP</w:t>
      </w:r>
      <w:r w:rsidRPr="00BB3C8B">
        <w:rPr>
          <w:szCs w:val="24"/>
        </w:rPr>
        <w:t xml:space="preserve"> </w:t>
      </w:r>
      <w:r>
        <w:rPr>
          <w:szCs w:val="24"/>
        </w:rPr>
        <w:t xml:space="preserve">electronically communicates the DA Market results for each hour of the Operating Day to Market Participants.  The following results are communicated to each Market Participant that relates only to that Market Participant: </w:t>
      </w:r>
      <w:r w:rsidRPr="00BB3C8B">
        <w:rPr>
          <w:szCs w:val="24"/>
        </w:rPr>
        <w:t xml:space="preserve"> </w:t>
      </w:r>
    </w:p>
    <w:p w:rsidR="00806A7D" w:rsidRDefault="00806A7D" w:rsidP="00806A7D">
      <w:pPr>
        <w:pStyle w:val="ParaText"/>
        <w:numPr>
          <w:ilvl w:val="0"/>
          <w:numId w:val="31"/>
        </w:numPr>
        <w:tabs>
          <w:tab w:val="clear" w:pos="1440"/>
          <w:tab w:val="num" w:pos="720"/>
        </w:tabs>
        <w:spacing w:before="120"/>
        <w:ind w:left="720" w:hanging="540"/>
        <w:rPr>
          <w:szCs w:val="24"/>
        </w:rPr>
      </w:pPr>
      <w:r>
        <w:rPr>
          <w:szCs w:val="24"/>
        </w:rPr>
        <w:t>Cleared Resource Offers for Energy</w:t>
      </w:r>
      <w:r w:rsidRPr="00BB3C8B">
        <w:rPr>
          <w:szCs w:val="24"/>
        </w:rPr>
        <w:t xml:space="preserve">, </w:t>
      </w:r>
      <w:r>
        <w:rPr>
          <w:szCs w:val="24"/>
        </w:rPr>
        <w:t>Regulation-Up, Regulation-Down, Spinning Reserve and/or Supplemental Reserve, in MW;</w:t>
      </w:r>
    </w:p>
    <w:p w:rsidR="00806A7D" w:rsidRDefault="00806A7D" w:rsidP="00806A7D">
      <w:pPr>
        <w:pStyle w:val="ParaText"/>
        <w:numPr>
          <w:ilvl w:val="1"/>
          <w:numId w:val="30"/>
        </w:numPr>
        <w:spacing w:before="120"/>
        <w:ind w:hanging="540"/>
        <w:rPr>
          <w:szCs w:val="24"/>
        </w:rPr>
      </w:pPr>
      <w:r>
        <w:rPr>
          <w:szCs w:val="24"/>
        </w:rPr>
        <w:t xml:space="preserve">Cleared Offers for Energy associated with Resource Offers </w:t>
      </w:r>
      <w:del w:id="0" w:author="accenture2" w:date="2011-02-24T10:19:00Z">
        <w:r w:rsidDel="00753997">
          <w:rPr>
            <w:szCs w:val="24"/>
          </w:rPr>
          <w:delText xml:space="preserve">also </w:delText>
        </w:r>
      </w:del>
      <w:r>
        <w:rPr>
          <w:szCs w:val="24"/>
        </w:rPr>
        <w:t>represent a physical Resource commitment schedule that forms the basis for the Current Operating Plan for the upcoming Operating Day.</w:t>
      </w:r>
      <w:ins w:id="1" w:author="accenture2" w:date="2011-02-24T10:19:00Z">
        <w:r>
          <w:rPr>
            <w:szCs w:val="24"/>
          </w:rPr>
          <w:t xml:space="preserve">  </w:t>
        </w:r>
      </w:ins>
      <w:ins w:id="2" w:author="accenture2" w:date="2011-02-24T11:18:00Z">
        <w:r>
          <w:rPr>
            <w:szCs w:val="24"/>
          </w:rPr>
          <w:t xml:space="preserve">Market Participants should consider Resource </w:t>
        </w:r>
        <w:proofErr w:type="gramStart"/>
        <w:r>
          <w:rPr>
            <w:szCs w:val="24"/>
          </w:rPr>
          <w:t>commitment</w:t>
        </w:r>
        <w:proofErr w:type="gramEnd"/>
        <w:r>
          <w:rPr>
            <w:szCs w:val="24"/>
          </w:rPr>
          <w:t xml:space="preserve"> schedules resulting from SPP </w:t>
        </w:r>
      </w:ins>
      <w:r>
        <w:rPr>
          <w:szCs w:val="24"/>
        </w:rPr>
        <w:t>commitment</w:t>
      </w:r>
      <w:ins w:id="3" w:author="accenture2" w:date="2011-02-24T11:18:00Z">
        <w:r>
          <w:rPr>
            <w:szCs w:val="24"/>
          </w:rPr>
          <w:t xml:space="preserve"> of Resources with a Commit Status of “Market” or “Reliability</w:t>
        </w:r>
      </w:ins>
      <w:ins w:id="4" w:author="accenture2" w:date="2011-02-24T11:19:00Z">
        <w:r>
          <w:rPr>
            <w:szCs w:val="24"/>
          </w:rPr>
          <w:t xml:space="preserve"> as </w:t>
        </w:r>
      </w:ins>
      <w:ins w:id="5" w:author="accenture2" w:date="2011-02-24T11:26:00Z">
        <w:r>
          <w:rPr>
            <w:szCs w:val="24"/>
          </w:rPr>
          <w:t>SPP</w:t>
        </w:r>
      </w:ins>
      <w:ins w:id="6" w:author="accenture2" w:date="2011-02-24T11:25:00Z">
        <w:r>
          <w:rPr>
            <w:szCs w:val="24"/>
          </w:rPr>
          <w:t xml:space="preserve"> start-up orders and shut-down orders</w:t>
        </w:r>
      </w:ins>
      <w:ins w:id="7" w:author="accenture2" w:date="2011-02-24T11:19:00Z">
        <w:r>
          <w:rPr>
            <w:szCs w:val="24"/>
          </w:rPr>
          <w:t>.</w:t>
        </w:r>
      </w:ins>
      <w:ins w:id="8" w:author="accenture2" w:date="2011-02-24T11:20:00Z">
        <w:r>
          <w:rPr>
            <w:szCs w:val="24"/>
          </w:rPr>
          <w:t xml:space="preserve">  </w:t>
        </w:r>
      </w:ins>
    </w:p>
    <w:p w:rsidR="00806A7D" w:rsidRDefault="00806A7D" w:rsidP="00806A7D">
      <w:pPr>
        <w:pStyle w:val="ParaText"/>
        <w:numPr>
          <w:ilvl w:val="1"/>
          <w:numId w:val="30"/>
        </w:numPr>
        <w:spacing w:before="120"/>
        <w:ind w:hanging="540"/>
        <w:rPr>
          <w:szCs w:val="24"/>
        </w:rPr>
      </w:pPr>
      <w:r>
        <w:rPr>
          <w:szCs w:val="24"/>
        </w:rPr>
        <w:t xml:space="preserve">Resources committed by SPP in the DA Market </w:t>
      </w:r>
      <w:ins w:id="9" w:author="accenture2" w:date="2011-02-24T10:47:00Z">
        <w:r>
          <w:rPr>
            <w:szCs w:val="24"/>
          </w:rPr>
          <w:t xml:space="preserve">with a Commit Status of “Market” or </w:t>
        </w:r>
      </w:ins>
      <w:ins w:id="10" w:author="accenture2" w:date="2011-02-24T10:48:00Z">
        <w:r>
          <w:rPr>
            <w:szCs w:val="24"/>
          </w:rPr>
          <w:t>“</w:t>
        </w:r>
      </w:ins>
      <w:ins w:id="11" w:author="accenture2" w:date="2011-02-24T10:47:00Z">
        <w:r>
          <w:rPr>
            <w:szCs w:val="24"/>
          </w:rPr>
          <w:t>Reliability”</w:t>
        </w:r>
      </w:ins>
      <w:ins w:id="12" w:author="accenture2" w:date="2011-02-24T10:48:00Z">
        <w:r>
          <w:rPr>
            <w:szCs w:val="24"/>
          </w:rPr>
          <w:t xml:space="preserve"> </w:t>
        </w:r>
      </w:ins>
      <w:del w:id="13" w:author="accenture2" w:date="2011-02-24T10:48:00Z">
        <w:r w:rsidDel="003F06DA">
          <w:rPr>
            <w:szCs w:val="24"/>
          </w:rPr>
          <w:delText xml:space="preserve">that incur one or more start-up costs within the Operating Day as a result of the SPP DA Market commitment </w:delText>
        </w:r>
      </w:del>
      <w:r>
        <w:rPr>
          <w:szCs w:val="24"/>
        </w:rPr>
        <w:t>are guaranteed to receive</w:t>
      </w:r>
      <w:ins w:id="14" w:author="accenture2" w:date="2011-02-24T10:31:00Z">
        <w:r>
          <w:rPr>
            <w:szCs w:val="24"/>
          </w:rPr>
          <w:t xml:space="preserve"> DA Market</w:t>
        </w:r>
      </w:ins>
      <w:r>
        <w:rPr>
          <w:szCs w:val="24"/>
        </w:rPr>
        <w:t xml:space="preserve"> revenues that are at least equal to the </w:t>
      </w:r>
      <w:ins w:id="15" w:author="accenture2" w:date="2011-02-24T10:30:00Z">
        <w:r>
          <w:rPr>
            <w:szCs w:val="24"/>
          </w:rPr>
          <w:t xml:space="preserve">DA Market </w:t>
        </w:r>
      </w:ins>
      <w:r>
        <w:rPr>
          <w:szCs w:val="24"/>
        </w:rPr>
        <w:t xml:space="preserve">Resource Offer costs for the associated cleared amount of </w:t>
      </w:r>
      <w:r>
        <w:rPr>
          <w:szCs w:val="24"/>
        </w:rPr>
        <w:lastRenderedPageBreak/>
        <w:t>Energy, Regulation-Up, Regulation-Down Spinning Reserve and/or Supplemental Reserve.</w:t>
      </w:r>
      <w:ins w:id="16" w:author="accenture2" w:date="2011-02-24T10:50:00Z">
        <w:r>
          <w:rPr>
            <w:szCs w:val="24"/>
          </w:rPr>
          <w:t xml:space="preserve">  See Section </w:t>
        </w:r>
      </w:ins>
      <w:ins w:id="17" w:author="accenture2" w:date="2011-02-24T10:51:00Z">
        <w:r>
          <w:rPr>
            <w:szCs w:val="24"/>
          </w:rPr>
          <w:fldChar w:fldCharType="begin"/>
        </w:r>
        <w:r>
          <w:rPr>
            <w:szCs w:val="24"/>
          </w:rPr>
          <w:instrText xml:space="preserve"> REF _Ref257644661 \r \h </w:instrText>
        </w:r>
      </w:ins>
      <w:r>
        <w:rPr>
          <w:szCs w:val="24"/>
        </w:rPr>
      </w:r>
      <w:r>
        <w:rPr>
          <w:szCs w:val="24"/>
        </w:rPr>
        <w:fldChar w:fldCharType="separate"/>
      </w:r>
      <w:ins w:id="18" w:author="accenture2" w:date="2011-02-24T10:51:00Z">
        <w:r>
          <w:rPr>
            <w:szCs w:val="24"/>
          </w:rPr>
          <w:t>4.5.8.12</w:t>
        </w:r>
        <w:r>
          <w:rPr>
            <w:szCs w:val="24"/>
          </w:rPr>
          <w:fldChar w:fldCharType="end"/>
        </w:r>
        <w:r>
          <w:rPr>
            <w:szCs w:val="24"/>
          </w:rPr>
          <w:t xml:space="preserve"> for additional details.</w:t>
        </w:r>
      </w:ins>
      <w:r>
        <w:rPr>
          <w:szCs w:val="24"/>
        </w:rPr>
        <w:t xml:space="preserve">  </w:t>
      </w:r>
    </w:p>
    <w:p w:rsidR="00806A7D" w:rsidRPr="003A1EA8" w:rsidRDefault="00806A7D" w:rsidP="00806A7D">
      <w:pPr>
        <w:pStyle w:val="Heading3"/>
        <w:numPr>
          <w:ilvl w:val="2"/>
          <w:numId w:val="0"/>
        </w:numPr>
        <w:tabs>
          <w:tab w:val="num" w:pos="1080"/>
        </w:tabs>
        <w:spacing w:before="0" w:after="240"/>
        <w:ind w:left="1080" w:hanging="1080"/>
        <w:jc w:val="both"/>
        <w:rPr>
          <w:rFonts w:ascii="Times New Roman" w:hAnsi="Times New Roman"/>
        </w:rPr>
      </w:pPr>
      <w:bookmarkStart w:id="19" w:name="_Toc234814889"/>
      <w:bookmarkStart w:id="20" w:name="_Toc237163845"/>
      <w:bookmarkStart w:id="21" w:name="_Toc243211982"/>
      <w:bookmarkStart w:id="22" w:name="_Toc245633974"/>
      <w:bookmarkStart w:id="23" w:name="_Toc245634126"/>
      <w:bookmarkStart w:id="24" w:name="_Toc245728016"/>
      <w:bookmarkStart w:id="25" w:name="_Toc248644140"/>
      <w:bookmarkStart w:id="26" w:name="_Toc258924866"/>
      <w:bookmarkStart w:id="27" w:name="_Toc263173306"/>
      <w:bookmarkStart w:id="28" w:name="_Toc263173617"/>
      <w:bookmarkStart w:id="29" w:name="_Toc263173803"/>
      <w:bookmarkStart w:id="30" w:name="_Toc263174182"/>
      <w:bookmarkStart w:id="31" w:name="_Toc263235081"/>
      <w:bookmarkStart w:id="32" w:name="_Toc263235724"/>
      <w:bookmarkStart w:id="33" w:name="_Toc263429419"/>
      <w:bookmarkStart w:id="34" w:name="_Toc263795457"/>
      <w:bookmarkStart w:id="35" w:name="_Toc266869634"/>
      <w:bookmarkStart w:id="36" w:name="_Toc280278559"/>
      <w:r>
        <w:rPr>
          <w:rFonts w:ascii="Times New Roman" w:hAnsi="Times New Roman"/>
        </w:rPr>
        <w:t>4.3.2</w:t>
      </w:r>
      <w:r>
        <w:rPr>
          <w:rFonts w:ascii="Times New Roman" w:hAnsi="Times New Roman"/>
        </w:rPr>
        <w:tab/>
      </w:r>
      <w:r w:rsidRPr="003A1EA8">
        <w:rPr>
          <w:rFonts w:ascii="Times New Roman" w:hAnsi="Times New Roman"/>
        </w:rPr>
        <w:t>Day-Ahead Reliability Unit Commitment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806A7D" w:rsidRDefault="00806A7D" w:rsidP="00806A7D">
      <w:pPr>
        <w:pStyle w:val="ParaText"/>
        <w:rPr>
          <w:szCs w:val="24"/>
        </w:rPr>
      </w:pPr>
      <w:r>
        <w:rPr>
          <w:szCs w:val="24"/>
        </w:rPr>
        <w:t xml:space="preserve">At 1700 hours or one hour following the posting of the DA Market results, whichever is later, SPP begins the Day-Ahead RUC </w:t>
      </w:r>
      <w:ins w:id="37" w:author="accenture2" w:date="2011-09-13T19:52:00Z">
        <w:r>
          <w:rPr>
            <w:szCs w:val="24"/>
          </w:rPr>
          <w:t xml:space="preserve">study </w:t>
        </w:r>
      </w:ins>
      <w:r>
        <w:rPr>
          <w:szCs w:val="24"/>
        </w:rPr>
        <w:t>process</w:t>
      </w:r>
      <w:r w:rsidRPr="00BB031E">
        <w:t xml:space="preserve"> </w:t>
      </w:r>
      <w:r>
        <w:t xml:space="preserve">to assess capacity adequacy during the Operating Day.  </w:t>
      </w:r>
      <w:ins w:id="38" w:author="accenture3" w:date="2011-09-13T19:57:00Z">
        <w:r w:rsidRPr="00806A7D">
          <w:rPr>
            <w:highlight w:val="yellow"/>
          </w:rPr>
          <w:t>SPP uses the Day-Ahead RUC process as a tool to assist in making unit commitment decisions and to assess potential Emergency conditions.</w:t>
        </w:r>
        <w:r>
          <w:t xml:space="preserve"> </w:t>
        </w:r>
      </w:ins>
      <w:r>
        <w:rPr>
          <w:szCs w:val="24"/>
        </w:rPr>
        <w:t xml:space="preserve">No later than 2000 hours or three hours following the start of the DA RUC process, whichever is later, SPP communicates </w:t>
      </w:r>
      <w:ins w:id="39" w:author="accenture2" w:date="2011-08-31T18:52:00Z">
        <w:r>
          <w:rPr>
            <w:szCs w:val="24"/>
          </w:rPr>
          <w:t xml:space="preserve">certain results </w:t>
        </w:r>
      </w:ins>
      <w:del w:id="40" w:author="accenture2" w:date="2011-08-31T18:52:00Z">
        <w:r w:rsidDel="002C37AF">
          <w:rPr>
            <w:szCs w:val="24"/>
          </w:rPr>
          <w:delText xml:space="preserve">new or modified Resource commitment schedules </w:delText>
        </w:r>
      </w:del>
      <w:r>
        <w:rPr>
          <w:szCs w:val="24"/>
        </w:rPr>
        <w:t>to affected Market Participants</w:t>
      </w:r>
      <w:ins w:id="41" w:author="accenture3" w:date="2011-09-13T19:58:00Z">
        <w:r w:rsidRPr="00EA5C34">
          <w:rPr>
            <w:szCs w:val="24"/>
          </w:rPr>
          <w:t xml:space="preserve"> </w:t>
        </w:r>
        <w:r>
          <w:rPr>
            <w:szCs w:val="24"/>
          </w:rPr>
          <w:t xml:space="preserve">for </w:t>
        </w:r>
        <w:r w:rsidRPr="00806A7D">
          <w:rPr>
            <w:szCs w:val="24"/>
            <w:highlight w:val="yellow"/>
          </w:rPr>
          <w:t>information purposes only regarding potential use of Emergency capacity.</w:t>
        </w:r>
      </w:ins>
      <w:ins w:id="42" w:author="accenture2" w:date="2011-08-31T18:52:00Z">
        <w:r>
          <w:rPr>
            <w:szCs w:val="24"/>
          </w:rPr>
          <w:t xml:space="preserve">  SPP then </w:t>
        </w:r>
      </w:ins>
      <w:del w:id="43" w:author="accenture2" w:date="2011-08-31T18:53:00Z">
        <w:r w:rsidDel="002C37AF">
          <w:rPr>
            <w:szCs w:val="24"/>
          </w:rPr>
          <w:delText xml:space="preserve"> and </w:delText>
        </w:r>
      </w:del>
      <w:r>
        <w:rPr>
          <w:szCs w:val="24"/>
        </w:rPr>
        <w:t>updates the Current Operating Plan</w:t>
      </w:r>
      <w:ins w:id="44" w:author="Carrie Simpson" w:date="2011-09-06T18:02:00Z">
        <w:r>
          <w:rPr>
            <w:szCs w:val="24"/>
          </w:rPr>
          <w:t xml:space="preserve"> and </w:t>
        </w:r>
      </w:ins>
      <w:ins w:id="45" w:author="accenture2" w:date="2011-08-31T18:53:00Z">
        <w:r>
          <w:rPr>
            <w:szCs w:val="24"/>
          </w:rPr>
          <w:t>start-up and/or shutdown orders are issued</w:t>
        </w:r>
      </w:ins>
      <w:ins w:id="46" w:author="accenture3" w:date="2011-09-13T19:58:00Z">
        <w:r>
          <w:rPr>
            <w:szCs w:val="24"/>
          </w:rPr>
          <w:t xml:space="preserve"> if needed</w:t>
        </w:r>
      </w:ins>
      <w:ins w:id="47" w:author="accenture2" w:date="2011-08-31T18:53:00Z">
        <w:r>
          <w:rPr>
            <w:szCs w:val="24"/>
          </w:rPr>
          <w:t xml:space="preserve"> which may be anytime after 2000 hours</w:t>
        </w:r>
      </w:ins>
      <w:r w:rsidRPr="00806A7D">
        <w:rPr>
          <w:szCs w:val="24"/>
          <w:highlight w:val="yellow"/>
        </w:rPr>
        <w:t>.</w:t>
      </w:r>
      <w:ins w:id="48" w:author="accenture3" w:date="2011-09-13T19:58:00Z">
        <w:r w:rsidRPr="00806A7D">
          <w:rPr>
            <w:szCs w:val="24"/>
            <w:highlight w:val="yellow"/>
          </w:rPr>
          <w:t xml:space="preserve">  </w:t>
        </w:r>
      </w:ins>
      <w:ins w:id="49" w:author="accenture3" w:date="2011-09-13T20:29:00Z">
        <w:r w:rsidRPr="00806A7D">
          <w:rPr>
            <w:szCs w:val="24"/>
            <w:highlight w:val="yellow"/>
          </w:rPr>
          <w:t>SPP</w:t>
        </w:r>
      </w:ins>
      <w:ins w:id="50" w:author="accenture3" w:date="2011-09-13T19:58:00Z">
        <w:r w:rsidRPr="00806A7D">
          <w:rPr>
            <w:szCs w:val="24"/>
            <w:highlight w:val="yellow"/>
          </w:rPr>
          <w:t xml:space="preserve"> implementation of Emergency procedures shall be in accordance with SPP</w:t>
        </w:r>
      </w:ins>
      <w:ins w:id="51" w:author="accenture3" w:date="2011-09-13T19:59:00Z">
        <w:r w:rsidRPr="00806A7D">
          <w:rPr>
            <w:szCs w:val="24"/>
            <w:highlight w:val="yellow"/>
          </w:rPr>
          <w:t xml:space="preserve">’s responsibility as Reliability Coordinator, as described under Attachment </w:t>
        </w:r>
        <w:proofErr w:type="gramStart"/>
        <w:r w:rsidRPr="00806A7D">
          <w:rPr>
            <w:szCs w:val="24"/>
            <w:highlight w:val="yellow"/>
          </w:rPr>
          <w:t>AN</w:t>
        </w:r>
        <w:proofErr w:type="gramEnd"/>
        <w:r w:rsidRPr="00806A7D">
          <w:rPr>
            <w:szCs w:val="24"/>
            <w:highlight w:val="yellow"/>
          </w:rPr>
          <w:t xml:space="preserve"> to the SPP Tariff, and shall be in accordance with</w:t>
        </w:r>
      </w:ins>
      <w:ins w:id="52" w:author="accenture3" w:date="2011-09-13T20:00:00Z">
        <w:r w:rsidRPr="00806A7D">
          <w:rPr>
            <w:szCs w:val="24"/>
            <w:highlight w:val="yellow"/>
          </w:rPr>
          <w:t xml:space="preserve"> </w:t>
        </w:r>
      </w:ins>
      <w:ins w:id="53" w:author="accenture3" w:date="2011-09-13T20:01:00Z">
        <w:r w:rsidRPr="00806A7D">
          <w:rPr>
            <w:szCs w:val="24"/>
            <w:highlight w:val="yellow"/>
          </w:rPr>
          <w:t xml:space="preserve">the </w:t>
        </w:r>
      </w:ins>
      <w:ins w:id="54" w:author="accenture3" w:date="2011-09-13T20:00:00Z">
        <w:r w:rsidRPr="00806A7D">
          <w:rPr>
            <w:szCs w:val="24"/>
            <w:highlight w:val="yellow"/>
          </w:rPr>
          <w:t>procedures described under</w:t>
        </w:r>
        <w:del w:id="55" w:author="Carrie Simpson" w:date="2011-09-14T18:09:00Z">
          <w:r w:rsidRPr="00806A7D" w:rsidDel="00096D48">
            <w:rPr>
              <w:szCs w:val="24"/>
              <w:highlight w:val="yellow"/>
            </w:rPr>
            <w:delText xml:space="preserve"> </w:delText>
          </w:r>
        </w:del>
        <w:r w:rsidRPr="00806A7D">
          <w:rPr>
            <w:szCs w:val="24"/>
            <w:highlight w:val="yellow"/>
          </w:rPr>
          <w:t xml:space="preserve"> the NERC Reliability Standards.</w:t>
        </w:r>
      </w:ins>
      <w:del w:id="56" w:author="accenture3" w:date="2011-09-13T19:58:00Z">
        <w:r w:rsidRPr="0015115E" w:rsidDel="00EA5C34">
          <w:rPr>
            <w:szCs w:val="24"/>
          </w:rPr>
          <w:delText xml:space="preserve">  </w:delText>
        </w:r>
      </w:del>
      <w:r w:rsidRPr="0015115E">
        <w:rPr>
          <w:szCs w:val="24"/>
        </w:rPr>
        <w:t xml:space="preserve">  </w:t>
      </w:r>
      <w:r>
        <w:rPr>
          <w:szCs w:val="24"/>
        </w:rPr>
        <w:t xml:space="preserve">  </w:t>
      </w:r>
    </w:p>
    <w:p w:rsidR="00806A7D" w:rsidRDefault="00806A7D" w:rsidP="00806A7D">
      <w:pPr>
        <w:spacing w:after="240" w:line="300" w:lineRule="auto"/>
      </w:pPr>
      <w:r>
        <w:t xml:space="preserve">The Day-Ahead RUC consists of four steps: (1) process RUC inputs; (2) execute RUC algorithm; (3) evaluate </w:t>
      </w:r>
      <w:ins w:id="57" w:author="accenture2" w:date="2011-08-31T18:53:00Z">
        <w:r>
          <w:t xml:space="preserve">and communicate </w:t>
        </w:r>
      </w:ins>
      <w:r>
        <w:t xml:space="preserve">RUC results; and (4) </w:t>
      </w:r>
      <w:del w:id="58" w:author="accenture2" w:date="2011-08-31T18:54:00Z">
        <w:r w:rsidDel="00AB5ECA">
          <w:delText>issue commitment/de-commitment orders and u</w:delText>
        </w:r>
      </w:del>
      <w:ins w:id="59" w:author="accenture2" w:date="2011-08-31T19:30:00Z">
        <w:r>
          <w:t>u</w:t>
        </w:r>
      </w:ins>
      <w:r>
        <w:t>pdate Current Operating Plan</w:t>
      </w:r>
      <w:ins w:id="60" w:author="accenture2" w:date="2011-08-31T18:54:00Z">
        <w:r>
          <w:t xml:space="preserve"> as needed</w:t>
        </w:r>
      </w:ins>
      <w:r>
        <w:t>.</w:t>
      </w:r>
    </w:p>
    <w:p w:rsidR="00806A7D" w:rsidRPr="005B6CF5" w:rsidRDefault="00806A7D" w:rsidP="00806A7D">
      <w:pPr>
        <w:pStyle w:val="ListParagraph"/>
        <w:keepNext/>
        <w:numPr>
          <w:ilvl w:val="3"/>
          <w:numId w:val="0"/>
        </w:numPr>
        <w:tabs>
          <w:tab w:val="left" w:pos="1080"/>
        </w:tabs>
        <w:spacing w:before="240" w:after="240" w:line="240" w:lineRule="auto"/>
        <w:ind w:left="1080" w:hanging="1080"/>
        <w:contextualSpacing w:val="0"/>
        <w:jc w:val="both"/>
        <w:outlineLvl w:val="3"/>
        <w:rPr>
          <w:rFonts w:ascii="Times New Roman" w:hAnsi="Times New Roman"/>
          <w:b/>
          <w:vanish/>
          <w:sz w:val="26"/>
          <w:szCs w:val="26"/>
        </w:rPr>
      </w:pPr>
      <w:bookmarkStart w:id="61" w:name="_Toc245633977"/>
      <w:bookmarkStart w:id="62" w:name="_Toc245634129"/>
      <w:bookmarkStart w:id="63" w:name="_Toc245728019"/>
      <w:bookmarkStart w:id="64" w:name="_Toc248644143"/>
      <w:bookmarkStart w:id="65" w:name="_Toc258924869"/>
      <w:bookmarkStart w:id="66" w:name="_Toc263173309"/>
      <w:bookmarkStart w:id="67" w:name="_Toc263429422"/>
      <w:bookmarkStart w:id="68" w:name="_Toc263795460"/>
      <w:bookmarkStart w:id="69" w:name="_Toc266869637"/>
      <w:bookmarkStart w:id="70" w:name="_Toc280278562"/>
      <w:bookmarkStart w:id="71" w:name="OLE_LINK279"/>
      <w:bookmarkStart w:id="72" w:name="OLE_LINK280"/>
      <w:r w:rsidRPr="005B6CF5">
        <w:rPr>
          <w:rFonts w:ascii="Times New Roman" w:hAnsi="Times New Roman"/>
          <w:b/>
          <w:sz w:val="26"/>
          <w:szCs w:val="26"/>
        </w:rPr>
        <w:t>4.3.2.3</w:t>
      </w:r>
      <w:r w:rsidRPr="005B6CF5">
        <w:rPr>
          <w:rFonts w:ascii="Times New Roman" w:hAnsi="Times New Roman"/>
          <w:b/>
          <w:sz w:val="26"/>
          <w:szCs w:val="26"/>
        </w:rPr>
        <w:tab/>
      </w:r>
    </w:p>
    <w:p w:rsidR="00806A7D" w:rsidRPr="005B6CF5" w:rsidRDefault="00806A7D" w:rsidP="00806A7D">
      <w:pPr>
        <w:pStyle w:val="Heading4"/>
        <w:numPr>
          <w:ilvl w:val="3"/>
          <w:numId w:val="0"/>
        </w:numPr>
        <w:tabs>
          <w:tab w:val="left" w:pos="1080"/>
        </w:tabs>
        <w:spacing w:after="240"/>
        <w:ind w:left="1080" w:hanging="1080"/>
        <w:jc w:val="both"/>
        <w:rPr>
          <w:rFonts w:ascii="Times New Roman" w:hAnsi="Times New Roman"/>
          <w:sz w:val="26"/>
          <w:szCs w:val="26"/>
        </w:rPr>
      </w:pPr>
      <w:r w:rsidRPr="005B6CF5">
        <w:rPr>
          <w:rFonts w:ascii="Times New Roman" w:hAnsi="Times New Roman"/>
          <w:sz w:val="26"/>
          <w:szCs w:val="26"/>
        </w:rPr>
        <w:t>Day-Ahead RUC Results</w:t>
      </w:r>
      <w:bookmarkEnd w:id="61"/>
      <w:bookmarkEnd w:id="62"/>
      <w:bookmarkEnd w:id="63"/>
      <w:bookmarkEnd w:id="64"/>
      <w:bookmarkEnd w:id="65"/>
      <w:bookmarkEnd w:id="66"/>
      <w:bookmarkEnd w:id="67"/>
      <w:bookmarkEnd w:id="68"/>
      <w:bookmarkEnd w:id="69"/>
      <w:bookmarkEnd w:id="70"/>
    </w:p>
    <w:p w:rsidR="00806A7D" w:rsidRPr="00BB3C8B" w:rsidRDefault="00806A7D" w:rsidP="00806A7D">
      <w:pPr>
        <w:pStyle w:val="ParaText"/>
        <w:rPr>
          <w:szCs w:val="24"/>
        </w:rPr>
      </w:pPr>
      <w:r>
        <w:rPr>
          <w:szCs w:val="24"/>
        </w:rPr>
        <w:t>N</w:t>
      </w:r>
      <w:r w:rsidRPr="00BB3C8B">
        <w:rPr>
          <w:szCs w:val="24"/>
        </w:rPr>
        <w:t xml:space="preserve">o later than </w:t>
      </w:r>
      <w:r>
        <w:rPr>
          <w:szCs w:val="24"/>
        </w:rPr>
        <w:t>2000</w:t>
      </w:r>
      <w:r w:rsidRPr="00BB3C8B">
        <w:rPr>
          <w:szCs w:val="24"/>
        </w:rPr>
        <w:t xml:space="preserve"> </w:t>
      </w:r>
      <w:r>
        <w:rPr>
          <w:szCs w:val="24"/>
        </w:rPr>
        <w:t xml:space="preserve">hours </w:t>
      </w:r>
      <w:r w:rsidRPr="00BB3C8B">
        <w:rPr>
          <w:szCs w:val="24"/>
        </w:rPr>
        <w:t xml:space="preserve">Day-Ahead, </w:t>
      </w:r>
      <w:r>
        <w:rPr>
          <w:szCs w:val="24"/>
        </w:rPr>
        <w:t>SPP</w:t>
      </w:r>
      <w:r w:rsidRPr="00BB3C8B">
        <w:rPr>
          <w:szCs w:val="24"/>
        </w:rPr>
        <w:t xml:space="preserve"> </w:t>
      </w:r>
      <w:r>
        <w:rPr>
          <w:szCs w:val="24"/>
        </w:rPr>
        <w:t xml:space="preserve">electronically communicates the </w:t>
      </w:r>
      <w:ins w:id="73" w:author="accenture2" w:date="2011-08-31T18:56:00Z">
        <w:r>
          <w:rPr>
            <w:szCs w:val="24"/>
          </w:rPr>
          <w:t xml:space="preserve">following </w:t>
        </w:r>
      </w:ins>
      <w:r>
        <w:rPr>
          <w:szCs w:val="24"/>
        </w:rPr>
        <w:t>Day-Ahead RUC results for each hour of the Operating Day to Market Participants</w:t>
      </w:r>
      <w:del w:id="74" w:author="accenture2" w:date="2011-08-31T18:56:00Z">
        <w:r w:rsidDel="00AB5ECA">
          <w:rPr>
            <w:szCs w:val="24"/>
          </w:rPr>
          <w:delText xml:space="preserve"> which consist of the following</w:delText>
        </w:r>
      </w:del>
      <w:r>
        <w:rPr>
          <w:szCs w:val="24"/>
        </w:rPr>
        <w:t>:</w:t>
      </w:r>
      <w:r w:rsidRPr="00BB3C8B">
        <w:rPr>
          <w:szCs w:val="24"/>
        </w:rPr>
        <w:t xml:space="preserve"> </w:t>
      </w:r>
    </w:p>
    <w:p w:rsidR="00806A7D" w:rsidDel="00AB5ECA" w:rsidRDefault="00806A7D" w:rsidP="00806A7D">
      <w:pPr>
        <w:numPr>
          <w:ilvl w:val="0"/>
          <w:numId w:val="32"/>
        </w:numPr>
        <w:spacing w:before="120" w:after="120" w:line="300" w:lineRule="auto"/>
        <w:ind w:hanging="540"/>
        <w:jc w:val="both"/>
        <w:rPr>
          <w:del w:id="75" w:author="accenture2" w:date="2011-08-31T19:16:00Z"/>
        </w:rPr>
      </w:pPr>
      <w:del w:id="76" w:author="accenture2" w:date="2011-08-31T19:16:00Z">
        <w:r w:rsidDel="00AB5ECA">
          <w:delText xml:space="preserve">Resource </w:delText>
        </w:r>
        <w:r w:rsidRPr="00112DE9" w:rsidDel="00AB5ECA">
          <w:delText>commitment schedule</w:delText>
        </w:r>
        <w:r w:rsidDel="00AB5ECA">
          <w:delText>s</w:delText>
        </w:r>
        <w:r w:rsidRPr="00112DE9" w:rsidDel="00AB5ECA">
          <w:delText xml:space="preserve"> </w:delText>
        </w:r>
        <w:r w:rsidDel="00AB5ECA">
          <w:delText xml:space="preserve">for Resources submitting a Commit Status of “Market” or “Reliability” as part of the RTBM Resource Offer </w:delText>
        </w:r>
        <w:r w:rsidRPr="00112DE9" w:rsidDel="00AB5ECA">
          <w:delText>indicating which hours the Resource is scheduled to operate</w:delText>
        </w:r>
        <w:r w:rsidDel="00AB5ECA">
          <w:delText xml:space="preserve"> for the Operating Day.</w:delText>
        </w:r>
        <w:r w:rsidRPr="001410C3" w:rsidDel="00AB5ECA">
          <w:delText xml:space="preserve"> </w:delText>
        </w:r>
        <w:r w:rsidDel="00AB5ECA">
          <w:delText xml:space="preserve"> </w:delText>
        </w:r>
        <w:r w:rsidRPr="00112DE9" w:rsidDel="00AB5ECA">
          <w:delText xml:space="preserve">This schedule does not become </w:delText>
        </w:r>
        <w:r w:rsidDel="00AB5ECA">
          <w:delText>effective</w:delText>
        </w:r>
        <w:r w:rsidRPr="00112DE9" w:rsidDel="00AB5ECA">
          <w:delText xml:space="preserve"> until </w:delText>
        </w:r>
        <w:r w:rsidDel="00AB5ECA">
          <w:delText xml:space="preserve">the Market Participant is issued a start-up order by </w:delText>
        </w:r>
        <w:r w:rsidRPr="00112DE9" w:rsidDel="00AB5ECA">
          <w:delText>SPP</w:delText>
        </w:r>
        <w:r w:rsidDel="00AB5ECA">
          <w:delText>.  SPP then updates the Current Operating Plan;</w:delText>
        </w:r>
      </w:del>
    </w:p>
    <w:p w:rsidR="00806A7D" w:rsidDel="00AB5ECA" w:rsidRDefault="00806A7D" w:rsidP="00806A7D">
      <w:pPr>
        <w:pStyle w:val="ParaText"/>
        <w:numPr>
          <w:ilvl w:val="0"/>
          <w:numId w:val="33"/>
        </w:numPr>
        <w:spacing w:before="120"/>
        <w:ind w:hanging="540"/>
        <w:rPr>
          <w:del w:id="77" w:author="accenture2" w:date="2011-08-31T19:16:00Z"/>
          <w:szCs w:val="24"/>
        </w:rPr>
      </w:pPr>
      <w:del w:id="78" w:author="accenture2" w:date="2011-08-31T19:16:00Z">
        <w:r w:rsidDel="00AB5ECA">
          <w:rPr>
            <w:szCs w:val="24"/>
          </w:rPr>
          <w:delText xml:space="preserve">Resources committed by SPP in the Day-Ahead RUC that incur one or more start-up costs within the Operating Day as a result of the Day-Ahead RUC commitment are guaranteed to receive revenues that are at least equal to the Resource Offer costs for </w:delText>
        </w:r>
      </w:del>
      <w:del w:id="79" w:author="accenture2" w:date="2011-02-24T11:37:00Z">
        <w:r w:rsidDel="00C15C19">
          <w:rPr>
            <w:szCs w:val="24"/>
          </w:rPr>
          <w:delText>the associated cleared amount of</w:delText>
        </w:r>
      </w:del>
      <w:del w:id="80" w:author="accenture2" w:date="2011-08-31T19:16:00Z">
        <w:r w:rsidDel="00AB5ECA">
          <w:rPr>
            <w:szCs w:val="24"/>
          </w:rPr>
          <w:delText xml:space="preserve"> Energy</w:delText>
        </w:r>
      </w:del>
      <w:del w:id="81" w:author="accenture2" w:date="2011-02-24T11:38:00Z">
        <w:r w:rsidDel="00C15C19">
          <w:rPr>
            <w:szCs w:val="24"/>
          </w:rPr>
          <w:delText xml:space="preserve">, </w:delText>
        </w:r>
      </w:del>
      <w:del w:id="82" w:author="accenture2" w:date="2011-08-31T19:16:00Z">
        <w:r w:rsidDel="00AB5ECA">
          <w:rPr>
            <w:szCs w:val="24"/>
          </w:rPr>
          <w:delText xml:space="preserve">Regulation, Spinning Reserve and/or Supplemental Reserve over the commitment period, subject to eligibility criteria, as described in Section </w:delText>
        </w:r>
        <w:r w:rsidDel="00AB5ECA">
          <w:fldChar w:fldCharType="begin"/>
        </w:r>
        <w:r w:rsidDel="00AB5ECA">
          <w:rPr>
            <w:szCs w:val="24"/>
          </w:rPr>
          <w:delInstrText xml:space="preserve"> REF _Ref248026494 \r \h </w:delInstrText>
        </w:r>
        <w:r w:rsidDel="00AB5ECA">
          <w:fldChar w:fldCharType="separate"/>
        </w:r>
        <w:r w:rsidDel="00AB5ECA">
          <w:rPr>
            <w:szCs w:val="24"/>
          </w:rPr>
          <w:delText>4.5.9.8</w:delText>
        </w:r>
        <w:r w:rsidDel="00AB5ECA">
          <w:fldChar w:fldCharType="end"/>
        </w:r>
        <w:r w:rsidDel="00AB5ECA">
          <w:rPr>
            <w:szCs w:val="24"/>
          </w:rPr>
          <w:delText xml:space="preserve">.  </w:delText>
        </w:r>
      </w:del>
    </w:p>
    <w:p w:rsidR="00806A7D" w:rsidDel="00AB5ECA" w:rsidRDefault="00806A7D" w:rsidP="00806A7D">
      <w:pPr>
        <w:numPr>
          <w:ilvl w:val="0"/>
          <w:numId w:val="32"/>
        </w:numPr>
        <w:spacing w:before="120" w:after="120" w:line="300" w:lineRule="auto"/>
        <w:ind w:hanging="540"/>
        <w:jc w:val="both"/>
        <w:rPr>
          <w:del w:id="83" w:author="accenture2" w:date="2011-08-31T19:16:00Z"/>
        </w:rPr>
      </w:pPr>
      <w:del w:id="84" w:author="accenture2" w:date="2011-08-31T19:16:00Z">
        <w:r w:rsidDel="00AB5ECA">
          <w:delText>Resource de-</w:delText>
        </w:r>
        <w:r w:rsidRPr="00112DE9" w:rsidDel="00AB5ECA">
          <w:delText>commitment schedule</w:delText>
        </w:r>
        <w:r w:rsidDel="00AB5ECA">
          <w:delText>s</w:delText>
        </w:r>
        <w:r w:rsidRPr="00112DE9" w:rsidDel="00AB5ECA">
          <w:delText xml:space="preserve"> </w:delText>
        </w:r>
        <w:r w:rsidDel="00AB5ECA">
          <w:delText xml:space="preserve">for Resources submitting a Commit Status of “Market” or “Reliability” as part of the RTBM Resource Offer, or </w:delText>
        </w:r>
      </w:del>
      <w:del w:id="85" w:author="accenture2" w:date="2011-02-24T10:58:00Z">
        <w:r w:rsidDel="00C11FBD">
          <w:delText xml:space="preserve">a </w:delText>
        </w:r>
      </w:del>
      <w:del w:id="86" w:author="accenture2" w:date="2011-08-31T19:16:00Z">
        <w:r w:rsidDel="00AB5ECA">
          <w:delText>DA Market Commit Status o</w:delText>
        </w:r>
      </w:del>
      <w:del w:id="87" w:author="accenture2" w:date="2011-01-18T14:11:00Z">
        <w:r w:rsidDel="00F25C86">
          <w:delText>r</w:delText>
        </w:r>
      </w:del>
      <w:del w:id="88" w:author="accenture2" w:date="2011-08-31T19:16:00Z">
        <w:r w:rsidDel="00AB5ECA">
          <w:delText xml:space="preserve"> “Market”</w:delText>
        </w:r>
      </w:del>
      <w:del w:id="89" w:author="accenture2" w:date="2011-02-24T11:41:00Z">
        <w:r w:rsidRPr="00A72BE1" w:rsidDel="00C15C19">
          <w:delText xml:space="preserve"> </w:delText>
        </w:r>
      </w:del>
      <w:del w:id="90" w:author="accenture2" w:date="2011-02-24T10:59:00Z">
        <w:r w:rsidDel="00C11FBD">
          <w:delText>as part of the DA Market Resource Offer</w:delText>
        </w:r>
      </w:del>
      <w:del w:id="91" w:author="accenture2" w:date="2011-08-31T19:16:00Z">
        <w:r w:rsidDel="00AB5ECA">
          <w:delText xml:space="preserve">, </w:delText>
        </w:r>
        <w:r w:rsidRPr="00112DE9" w:rsidDel="00AB5ECA">
          <w:delText xml:space="preserve">indicating </w:delText>
        </w:r>
        <w:r w:rsidDel="00AB5ECA">
          <w:delText>the</w:delText>
        </w:r>
        <w:r w:rsidRPr="00112DE9" w:rsidDel="00AB5ECA">
          <w:delText xml:space="preserve"> hour the Resource is scheduled to</w:delText>
        </w:r>
        <w:r w:rsidDel="00AB5ECA">
          <w:delText xml:space="preserve"> be de-committed.  T</w:delText>
        </w:r>
        <w:r w:rsidRPr="00112DE9" w:rsidDel="00AB5ECA">
          <w:delText xml:space="preserve">his schedule does not become </w:delText>
        </w:r>
        <w:r w:rsidDel="00AB5ECA">
          <w:delText>effective</w:delText>
        </w:r>
        <w:r w:rsidRPr="00112DE9" w:rsidDel="00AB5ECA">
          <w:delText xml:space="preserve"> until </w:delText>
        </w:r>
        <w:r w:rsidDel="00AB5ECA">
          <w:delText xml:space="preserve">the Market Participant is issued a shut-down order by </w:delText>
        </w:r>
        <w:r w:rsidRPr="00112DE9" w:rsidDel="00AB5ECA">
          <w:delText>SPP</w:delText>
        </w:r>
        <w:r w:rsidDel="00AB5ECA">
          <w:delText>.  SPP then updates the Current Operating Plan;</w:delText>
        </w:r>
      </w:del>
    </w:p>
    <w:p w:rsidR="00806A7D" w:rsidDel="00AB5ECA" w:rsidRDefault="00806A7D" w:rsidP="00806A7D">
      <w:pPr>
        <w:numPr>
          <w:ilvl w:val="1"/>
          <w:numId w:val="32"/>
        </w:numPr>
        <w:spacing w:before="120" w:after="120" w:line="300" w:lineRule="auto"/>
        <w:ind w:hanging="540"/>
        <w:jc w:val="both"/>
        <w:rPr>
          <w:del w:id="92" w:author="accenture2" w:date="2011-08-31T19:16:00Z"/>
        </w:rPr>
      </w:pPr>
      <w:del w:id="93" w:author="accenture2" w:date="2011-02-24T11:46:00Z">
        <w:r w:rsidDel="00575FCD">
          <w:lastRenderedPageBreak/>
          <w:delText xml:space="preserve">This de-commitment schedule may include de-commitment of Resources that were committed by SPP in the DA Market with a DA Market Commit Status of “Market” to alleviate </w:delText>
        </w:r>
      </w:del>
      <w:del w:id="94" w:author="accenture2" w:date="2011-08-31T19:16:00Z">
        <w:r w:rsidDel="00AB5ECA">
          <w:delText>anticipated excess supply condition</w:delText>
        </w:r>
      </w:del>
      <w:del w:id="95" w:author="accenture2" w:date="2011-02-24T11:46:00Z">
        <w:r w:rsidDel="00575FCD">
          <w:delText>s</w:delText>
        </w:r>
      </w:del>
      <w:del w:id="96" w:author="accenture2" w:date="2011-08-31T19:16:00Z">
        <w:r w:rsidDel="00AB5ECA">
          <w:delText xml:space="preserve"> as described under Section </w:delText>
        </w:r>
        <w:r w:rsidDel="00AB5ECA">
          <w:fldChar w:fldCharType="begin"/>
        </w:r>
        <w:r w:rsidDel="00AB5ECA">
          <w:delInstrText xml:space="preserve"> REF _Ref270489610 \r \h </w:delInstrText>
        </w:r>
        <w:r w:rsidDel="00AB5ECA">
          <w:fldChar w:fldCharType="separate"/>
        </w:r>
        <w:r w:rsidDel="00AB5ECA">
          <w:delText>4.3.2.2</w:delText>
        </w:r>
        <w:r w:rsidDel="00AB5ECA">
          <w:fldChar w:fldCharType="end"/>
        </w:r>
        <w:r w:rsidDel="00AB5ECA">
          <w:delText xml:space="preserve">(3)(b).  </w:delText>
        </w:r>
      </w:del>
      <w:del w:id="97" w:author="accenture2" w:date="2011-02-24T11:48:00Z">
        <w:r w:rsidDel="00575FCD">
          <w:delText>T</w:delText>
        </w:r>
        <w:r w:rsidRPr="00112DE9" w:rsidDel="00575FCD">
          <w:delText xml:space="preserve">his schedule does not become </w:delText>
        </w:r>
        <w:r w:rsidDel="00575FCD">
          <w:delText>effective</w:delText>
        </w:r>
        <w:r w:rsidRPr="00112DE9" w:rsidDel="00575FCD">
          <w:delText xml:space="preserve"> until </w:delText>
        </w:r>
        <w:r w:rsidDel="00575FCD">
          <w:delText xml:space="preserve">the Market Participant is issued a shut-down order by </w:delText>
        </w:r>
        <w:r w:rsidRPr="00112DE9" w:rsidDel="00575FCD">
          <w:delText>SPP</w:delText>
        </w:r>
        <w:r w:rsidDel="00575FCD">
          <w:delText xml:space="preserve">.  </w:delText>
        </w:r>
      </w:del>
      <w:del w:id="98" w:author="accenture2" w:date="2011-08-31T19:16:00Z">
        <w:r w:rsidDel="00AB5ECA">
          <w:delText xml:space="preserve">To the extent that a shut-down order is issued to a Resource that was committed by SPP in the DA Market, that Resource is eligible for compensation under Section </w:delText>
        </w:r>
        <w:r w:rsidDel="00AB5ECA">
          <w:fldChar w:fldCharType="begin"/>
        </w:r>
        <w:r w:rsidDel="00AB5ECA">
          <w:delInstrText xml:space="preserve"> REF _Ref257912936 \r \h </w:delInstrText>
        </w:r>
        <w:r w:rsidDel="00AB5ECA">
          <w:fldChar w:fldCharType="separate"/>
        </w:r>
        <w:r w:rsidDel="00AB5ECA">
          <w:delText>4.5.9.9</w:delText>
        </w:r>
        <w:r w:rsidDel="00AB5ECA">
          <w:fldChar w:fldCharType="end"/>
        </w:r>
        <w:r w:rsidDel="00AB5ECA">
          <w:delText xml:space="preserve">.  </w:delText>
        </w:r>
      </w:del>
      <w:del w:id="99" w:author="accenture2" w:date="2011-02-24T09:52:00Z">
        <w:r w:rsidDel="00942E93">
          <w:delText>SPP then updates the Current Operating Plan.</w:delText>
        </w:r>
      </w:del>
    </w:p>
    <w:bookmarkEnd w:id="71"/>
    <w:bookmarkEnd w:id="72"/>
    <w:p w:rsidR="00806A7D" w:rsidRPr="00163390" w:rsidRDefault="00806A7D" w:rsidP="00806A7D">
      <w:pPr>
        <w:numPr>
          <w:ilvl w:val="0"/>
          <w:numId w:val="32"/>
        </w:numPr>
        <w:spacing w:before="120" w:after="120" w:line="300" w:lineRule="auto"/>
        <w:ind w:hanging="540"/>
        <w:jc w:val="both"/>
      </w:pPr>
      <w:r>
        <w:t>Each Market Participant is notified regarding its Resources that are expected to be dispatched to Maximum Emergency Capacity Operating Limits.</w:t>
      </w:r>
      <w:r w:rsidRPr="00163390">
        <w:t xml:space="preserve"> </w:t>
      </w:r>
      <w:r>
        <w:t xml:space="preserve"> This notification is for information purposes only and will not become effective until confirmed by SPP prior to the affected Operating Hour.  Market Participants will be notified at </w:t>
      </w:r>
      <w:r w:rsidRPr="00042DEF">
        <w:t>least 10 minutes prior to the beginning of the Operating Hour but not more than 30 minutes prior to the beginning of the Operating Hour</w:t>
      </w:r>
      <w:r>
        <w:t xml:space="preserve"> that the Maximum Emergency Capacity Operating Limit will be used;</w:t>
      </w:r>
      <w:r w:rsidRPr="00042DEF">
        <w:t xml:space="preserve">  </w:t>
      </w:r>
    </w:p>
    <w:p w:rsidR="00806A7D" w:rsidRDefault="00806A7D" w:rsidP="00806A7D">
      <w:pPr>
        <w:numPr>
          <w:ilvl w:val="0"/>
          <w:numId w:val="32"/>
        </w:numPr>
        <w:spacing w:before="120" w:after="120" w:line="300" w:lineRule="auto"/>
        <w:ind w:hanging="540"/>
        <w:jc w:val="both"/>
      </w:pPr>
      <w:r>
        <w:t>Each Market Participant is notified regarding its Resources that are expected to be dispatched to Minimum Emergency Capacity Operating Limit.</w:t>
      </w:r>
      <w:r w:rsidRPr="00163390">
        <w:t xml:space="preserve"> </w:t>
      </w:r>
      <w:r>
        <w:t xml:space="preserve"> This notification is for information purposes only and will not become effective until confirmed by SPP prior to the affected Operating Hour.  Market Participants will be notified at </w:t>
      </w:r>
      <w:r w:rsidRPr="00042DEF">
        <w:t>least 10 minutes prior to the beginning of the Operating Hour but not more than 30 minutes prior to the beginning of the Operating Hour</w:t>
      </w:r>
      <w:r>
        <w:t xml:space="preserve"> that the Minimum Emergency Capacity Operating Limit will be used;</w:t>
      </w:r>
    </w:p>
    <w:p w:rsidR="00806A7D" w:rsidRDefault="00806A7D" w:rsidP="00806A7D">
      <w:pPr>
        <w:numPr>
          <w:ilvl w:val="0"/>
          <w:numId w:val="32"/>
        </w:numPr>
        <w:spacing w:before="120" w:after="120" w:line="300" w:lineRule="auto"/>
        <w:ind w:hanging="540"/>
        <w:jc w:val="both"/>
      </w:pPr>
      <w:r>
        <w:t>Notification that a fixed Interchange Transaction is expected to be curtailed due to excess or shortage conditions;</w:t>
      </w:r>
      <w:r w:rsidRPr="00042DEF">
        <w:t xml:space="preserve">  </w:t>
      </w:r>
    </w:p>
    <w:p w:rsidR="00806A7D" w:rsidRPr="005B6CF5" w:rsidRDefault="00806A7D" w:rsidP="00806A7D">
      <w:pPr>
        <w:pStyle w:val="Heading4"/>
        <w:numPr>
          <w:ilvl w:val="3"/>
          <w:numId w:val="0"/>
        </w:numPr>
        <w:tabs>
          <w:tab w:val="left" w:pos="1080"/>
        </w:tabs>
        <w:spacing w:after="240"/>
        <w:ind w:left="1080" w:hanging="1080"/>
        <w:jc w:val="both"/>
        <w:rPr>
          <w:ins w:id="100" w:author="accenture2" w:date="2011-08-31T19:16:00Z"/>
          <w:rFonts w:ascii="Times New Roman" w:hAnsi="Times New Roman"/>
          <w:sz w:val="26"/>
          <w:szCs w:val="26"/>
        </w:rPr>
      </w:pPr>
      <w:ins w:id="101" w:author="accenture2" w:date="2011-08-31T19:29:00Z">
        <w:r w:rsidRPr="009564A0">
          <w:rPr>
            <w:rFonts w:ascii="Times New Roman" w:hAnsi="Times New Roman"/>
            <w:sz w:val="26"/>
            <w:szCs w:val="26"/>
          </w:rPr>
          <w:t>4.3.2.4</w:t>
        </w:r>
        <w:r w:rsidRPr="009564A0">
          <w:rPr>
            <w:rFonts w:ascii="Times New Roman" w:hAnsi="Times New Roman"/>
            <w:sz w:val="26"/>
            <w:szCs w:val="26"/>
          </w:rPr>
          <w:tab/>
        </w:r>
      </w:ins>
      <w:ins w:id="102" w:author="accenture2" w:date="2011-08-31T19:16:00Z">
        <w:r w:rsidRPr="009564A0">
          <w:rPr>
            <w:rFonts w:ascii="Times New Roman" w:hAnsi="Times New Roman"/>
            <w:sz w:val="26"/>
            <w:szCs w:val="26"/>
          </w:rPr>
          <w:t>Update Current Operating Plan</w:t>
        </w:r>
      </w:ins>
    </w:p>
    <w:p w:rsidR="00806A7D" w:rsidRPr="007E0479" w:rsidRDefault="00806A7D" w:rsidP="00806A7D">
      <w:pPr>
        <w:keepNext/>
        <w:numPr>
          <w:ilvl w:val="1"/>
          <w:numId w:val="0"/>
        </w:numPr>
        <w:tabs>
          <w:tab w:val="left" w:pos="1080"/>
        </w:tabs>
        <w:spacing w:after="240"/>
        <w:jc w:val="both"/>
        <w:outlineLvl w:val="1"/>
        <w:rPr>
          <w:ins w:id="103" w:author="accenture2" w:date="2011-08-31T19:16:00Z"/>
          <w:vanish/>
          <w:sz w:val="30"/>
        </w:rPr>
      </w:pPr>
      <w:ins w:id="104" w:author="Carrie Simpson" w:date="2011-09-06T18:12:00Z">
        <w:r w:rsidRPr="007E0479">
          <w:rPr>
            <w:sz w:val="30"/>
          </w:rPr>
          <w:t xml:space="preserve">(1) </w:t>
        </w:r>
      </w:ins>
    </w:p>
    <w:p w:rsidR="00806A7D" w:rsidRPr="000A66FA" w:rsidRDefault="00806A7D" w:rsidP="00806A7D">
      <w:pPr>
        <w:pStyle w:val="ListParagraph"/>
        <w:keepNext/>
        <w:numPr>
          <w:ilvl w:val="2"/>
          <w:numId w:val="0"/>
        </w:numPr>
        <w:tabs>
          <w:tab w:val="num" w:pos="1080"/>
        </w:tabs>
        <w:spacing w:after="240" w:line="240" w:lineRule="auto"/>
        <w:ind w:left="1080" w:hanging="1080"/>
        <w:contextualSpacing w:val="0"/>
        <w:jc w:val="both"/>
        <w:outlineLvl w:val="2"/>
        <w:rPr>
          <w:ins w:id="105" w:author="accenture2" w:date="2011-08-31T19:16:00Z"/>
          <w:b/>
          <w:vanish/>
          <w:sz w:val="26"/>
        </w:rPr>
      </w:pPr>
    </w:p>
    <w:p w:rsidR="00806A7D" w:rsidDel="0040629D" w:rsidRDefault="00806A7D" w:rsidP="00806A7D">
      <w:pPr>
        <w:numPr>
          <w:ilvl w:val="0"/>
          <w:numId w:val="34"/>
        </w:numPr>
        <w:spacing w:before="120" w:after="120" w:line="300" w:lineRule="auto"/>
        <w:ind w:hanging="540"/>
        <w:jc w:val="both"/>
        <w:rPr>
          <w:ins w:id="106" w:author="accenture2" w:date="2011-08-31T19:16:00Z"/>
          <w:del w:id="107" w:author="Carrie Simpson" w:date="2011-09-06T18:01:00Z"/>
        </w:rPr>
      </w:pPr>
      <w:ins w:id="108" w:author="accenture2" w:date="2011-08-31T19:16:00Z">
        <w:r>
          <w:t>Using the results from the Day-Ahead RUC analysis, SPP may issue start-up orders to Resources with a Commit Status of “Market” or “Reliability” at any time following 2000 hours.   When</w:t>
        </w:r>
      </w:ins>
      <w:ins w:id="109" w:author="Carrie Simpson" w:date="2011-09-06T18:01:00Z">
        <w:r>
          <w:t xml:space="preserve"> SPP updates the Current Operating Plan,</w:t>
        </w:r>
      </w:ins>
      <w:ins w:id="110" w:author="accenture2" w:date="2011-08-31T19:16:00Z">
        <w:r>
          <w:t xml:space="preserve"> these start-up orders are issued</w:t>
        </w:r>
      </w:ins>
      <w:ins w:id="111" w:author="Carrie Simpson" w:date="2011-09-06T18:01:00Z">
        <w:r>
          <w:t xml:space="preserve">. </w:t>
        </w:r>
        <w:r w:rsidDel="0040629D">
          <w:t xml:space="preserve"> </w:t>
        </w:r>
      </w:ins>
    </w:p>
    <w:p w:rsidR="00806A7D" w:rsidRPr="007E0479" w:rsidRDefault="00806A7D" w:rsidP="00806A7D">
      <w:pPr>
        <w:pStyle w:val="ListParagraph"/>
        <w:numPr>
          <w:ilvl w:val="1"/>
          <w:numId w:val="34"/>
        </w:numPr>
        <w:spacing w:before="120" w:after="120" w:line="300" w:lineRule="auto"/>
        <w:jc w:val="both"/>
        <w:rPr>
          <w:ins w:id="112" w:author="Carrie Simpson" w:date="2011-09-06T18:12:00Z"/>
          <w:rFonts w:ascii="Times New Roman" w:hAnsi="Times New Roman"/>
        </w:rPr>
      </w:pPr>
      <w:ins w:id="113" w:author="accenture2" w:date="2011-08-31T19:16:00Z">
        <w:r w:rsidRPr="007E0479">
          <w:rPr>
            <w:rFonts w:ascii="Times New Roman" w:hAnsi="Times New Roman"/>
          </w:rPr>
          <w:tab/>
          <w:t xml:space="preserve">Resources that incur one or more start-up costs within the Operating Day as a result of </w:t>
        </w:r>
      </w:ins>
    </w:p>
    <w:p w:rsidR="00806A7D" w:rsidRPr="007E0479" w:rsidRDefault="00806A7D" w:rsidP="00806A7D">
      <w:pPr>
        <w:pStyle w:val="ListParagraph"/>
        <w:spacing w:before="120" w:after="120" w:line="300" w:lineRule="auto"/>
        <w:ind w:left="2160"/>
        <w:jc w:val="both"/>
        <w:rPr>
          <w:ins w:id="114" w:author="accenture2" w:date="2011-08-31T19:16:00Z"/>
          <w:rFonts w:ascii="Times New Roman" w:hAnsi="Times New Roman"/>
        </w:rPr>
      </w:pPr>
      <w:ins w:id="115" w:author="accenture2" w:date="2011-08-31T19:16:00Z">
        <w:r w:rsidRPr="007E0479">
          <w:rPr>
            <w:rFonts w:ascii="Times New Roman" w:hAnsi="Times New Roman"/>
          </w:rPr>
          <w:t xml:space="preserve">SPP start-up orders are guaranteed to receive revenues that are at least equal to the RTBM Resource Offer costs for actual Energy supplied and, Regulation, Spinning Reserve and/or Supplemental Reserve cleared in the RTBM over the commitment period, subject to eligibility criteria, as described in Section </w:t>
        </w:r>
      </w:ins>
      <w:fldSimple w:instr=" REF _Ref248026494 \r \h  \* MERGEFORMAT ">
        <w:r w:rsidRPr="00EA4A21">
          <w:rPr>
            <w:rFonts w:ascii="Times New Roman" w:hAnsi="Times New Roman"/>
          </w:rPr>
          <w:t>4.5.9.8</w:t>
        </w:r>
      </w:fldSimple>
      <w:r w:rsidRPr="00EA4A21">
        <w:rPr>
          <w:rFonts w:ascii="Times New Roman" w:hAnsi="Times New Roman"/>
        </w:rPr>
        <w:t xml:space="preserve">.  </w:t>
      </w:r>
    </w:p>
    <w:p w:rsidR="00806A7D" w:rsidRDefault="00806A7D" w:rsidP="00806A7D">
      <w:pPr>
        <w:numPr>
          <w:ilvl w:val="0"/>
          <w:numId w:val="34"/>
        </w:numPr>
        <w:spacing w:before="120" w:after="120" w:line="300" w:lineRule="auto"/>
        <w:jc w:val="both"/>
        <w:rPr>
          <w:ins w:id="116" w:author="accenture2" w:date="2011-08-31T19:16:00Z"/>
        </w:rPr>
      </w:pPr>
      <w:ins w:id="117" w:author="accenture2" w:date="2011-08-31T19:16:00Z">
        <w:r w:rsidRPr="0040629D">
          <w:t xml:space="preserve">Using the results from the Day-Ahead RUC analysis, SPP may issue shut-down orders to SPP committed Resources that were issued start-up orders in (1) above or may issue  changes to a shut-down order for SPP committed Resources in the DA Market </w:t>
        </w:r>
        <w:r>
          <w:t>a</w:t>
        </w:r>
        <w:r w:rsidRPr="0040629D">
          <w:t>t any time fo</w:t>
        </w:r>
        <w:r>
          <w:t>llowing 2000 hours.</w:t>
        </w:r>
        <w:r w:rsidRPr="00AB5ECA">
          <w:t xml:space="preserve"> </w:t>
        </w:r>
        <w:r>
          <w:t xml:space="preserve">When </w:t>
        </w:r>
      </w:ins>
      <w:ins w:id="118" w:author="Carrie Simpson" w:date="2011-09-06T18:02:00Z">
        <w:r>
          <w:t xml:space="preserve">SPP updates the Current Operating Plan, </w:t>
        </w:r>
      </w:ins>
      <w:ins w:id="119" w:author="accenture2" w:date="2011-08-31T19:16:00Z">
        <w:r>
          <w:t>these shut-down orders are issued</w:t>
        </w:r>
      </w:ins>
      <w:ins w:id="120" w:author="Carrie Simpson" w:date="2011-09-06T18:02:00Z">
        <w:r>
          <w:t xml:space="preserve">. </w:t>
        </w:r>
      </w:ins>
    </w:p>
    <w:p w:rsidR="00806A7D" w:rsidRDefault="00806A7D" w:rsidP="00806A7D">
      <w:pPr>
        <w:numPr>
          <w:ilvl w:val="1"/>
          <w:numId w:val="34"/>
        </w:numPr>
        <w:spacing w:before="120" w:after="120" w:line="300" w:lineRule="auto"/>
        <w:ind w:hanging="540"/>
        <w:jc w:val="both"/>
        <w:rPr>
          <w:ins w:id="121" w:author="accenture2" w:date="2011-08-31T19:16:00Z"/>
        </w:rPr>
      </w:pPr>
      <w:ins w:id="122" w:author="accenture2" w:date="2011-08-31T19:16:00Z">
        <w:r>
          <w:t xml:space="preserve">SPP may only issue changes to shut-down orders issued as part of the DA Market results to address an anticipated excess supply condition as described under Section </w:t>
        </w:r>
        <w:r>
          <w:fldChar w:fldCharType="begin"/>
        </w:r>
        <w:r>
          <w:instrText xml:space="preserve"> REF _Ref270489610 \r \h </w:instrText>
        </w:r>
      </w:ins>
      <w:ins w:id="123" w:author="accenture2" w:date="2011-08-31T19:16:00Z">
        <w:r>
          <w:fldChar w:fldCharType="separate"/>
        </w:r>
        <w:r>
          <w:t>4.3.2.2</w:t>
        </w:r>
        <w:r>
          <w:fldChar w:fldCharType="end"/>
        </w:r>
        <w:r>
          <w:t xml:space="preserve">(3)(b) </w:t>
        </w:r>
        <w:r>
          <w:lastRenderedPageBreak/>
          <w:t xml:space="preserve">and/or to address any other Emergency conditions.   To the extent that a change in a shut-down order is issued by SPP to a Resource that was committed by SPP in the DA Market causes that Resource to buy back its Energy and/or Operating Reserve position at RTBM prices that exceed the DA Market prices for the comparable products, that Resource is eligible for compensation under Section </w:t>
        </w:r>
        <w:r>
          <w:fldChar w:fldCharType="begin"/>
        </w:r>
        <w:r>
          <w:instrText xml:space="preserve"> REF _Ref257912936 \r \h </w:instrText>
        </w:r>
      </w:ins>
      <w:ins w:id="124" w:author="accenture2" w:date="2011-08-31T19:16:00Z">
        <w:r>
          <w:fldChar w:fldCharType="separate"/>
        </w:r>
        <w:r>
          <w:t>4.5.9.9</w:t>
        </w:r>
        <w:r>
          <w:fldChar w:fldCharType="end"/>
        </w:r>
        <w:r>
          <w:t xml:space="preserve">.  </w:t>
        </w:r>
      </w:ins>
    </w:p>
    <w:p w:rsidR="00806A7D" w:rsidRPr="00E36DF0" w:rsidRDefault="00806A7D" w:rsidP="00806A7D">
      <w:pPr>
        <w:pStyle w:val="Heading3"/>
        <w:rPr>
          <w:rFonts w:ascii="Times New Roman" w:hAnsi="Times New Roman"/>
          <w:bCs w:val="0"/>
        </w:rPr>
      </w:pPr>
      <w:bookmarkStart w:id="125" w:name="_Toc234814891"/>
      <w:bookmarkStart w:id="126" w:name="_Toc237163847"/>
      <w:bookmarkStart w:id="127" w:name="_Toc243211984"/>
      <w:bookmarkStart w:id="128" w:name="_Toc245633979"/>
      <w:bookmarkStart w:id="129" w:name="_Toc245634131"/>
      <w:bookmarkStart w:id="130" w:name="_Toc245728021"/>
      <w:bookmarkStart w:id="131" w:name="_Toc248644145"/>
      <w:bookmarkStart w:id="132" w:name="_Toc258924871"/>
      <w:bookmarkStart w:id="133" w:name="_Toc263173310"/>
      <w:bookmarkStart w:id="134" w:name="_Toc263173618"/>
      <w:bookmarkStart w:id="135" w:name="_Toc263173804"/>
      <w:bookmarkStart w:id="136" w:name="_Toc263174184"/>
      <w:bookmarkStart w:id="137" w:name="_Toc263235083"/>
      <w:bookmarkStart w:id="138" w:name="_Toc263235726"/>
      <w:bookmarkStart w:id="139" w:name="_Toc263429424"/>
      <w:bookmarkStart w:id="140" w:name="_Toc263795462"/>
      <w:bookmarkStart w:id="141" w:name="_Toc266869639"/>
      <w:bookmarkStart w:id="142" w:name="_Toc293318318"/>
      <w:r>
        <w:rPr>
          <w:rFonts w:ascii="Times New Roman" w:hAnsi="Times New Roman"/>
        </w:rPr>
        <w:t>4.4.1</w:t>
      </w:r>
      <w:r>
        <w:rPr>
          <w:rFonts w:ascii="Times New Roman" w:hAnsi="Times New Roman"/>
        </w:rPr>
        <w:tab/>
      </w:r>
      <w:r w:rsidRPr="00E36DF0">
        <w:rPr>
          <w:rFonts w:ascii="Times New Roman" w:hAnsi="Times New Roman"/>
        </w:rPr>
        <w:t>Intra-Day Reliability Unit Commitment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806A7D" w:rsidRDefault="00806A7D" w:rsidP="00806A7D">
      <w:pPr>
        <w:pStyle w:val="ParaText"/>
        <w:rPr>
          <w:szCs w:val="24"/>
        </w:rPr>
      </w:pPr>
      <w:r>
        <w:rPr>
          <w:szCs w:val="24"/>
        </w:rPr>
        <w:t>Following completion of the Day-Ahead RUC process, SPP continually evaluates the need for an Intra-Day RUC for the remainder of the Day-Ahead period and the Operating Day and performs additional Intra-Day RUCs at least every four hours.  Consistent with the</w:t>
      </w:r>
      <w:r w:rsidRPr="0015115E">
        <w:rPr>
          <w:szCs w:val="24"/>
        </w:rPr>
        <w:t xml:space="preserve"> </w:t>
      </w:r>
      <w:r>
        <w:rPr>
          <w:szCs w:val="24"/>
        </w:rPr>
        <w:t xml:space="preserve">Day-Ahead </w:t>
      </w:r>
      <w:r w:rsidRPr="0015115E">
        <w:rPr>
          <w:szCs w:val="24"/>
        </w:rPr>
        <w:t>RUC</w:t>
      </w:r>
      <w:r>
        <w:rPr>
          <w:szCs w:val="24"/>
        </w:rPr>
        <w:t xml:space="preserve">, these additional Intra-Day RUCs </w:t>
      </w:r>
      <w:r>
        <w:t xml:space="preserve">assess capacity adequacy during the Operating Day. </w:t>
      </w:r>
      <w:ins w:id="143" w:author="accenture3" w:date="2011-09-13T20:30:00Z">
        <w:r>
          <w:t xml:space="preserve"> </w:t>
        </w:r>
      </w:ins>
      <w:ins w:id="144" w:author="accenture3" w:date="2011-09-13T20:29:00Z">
        <w:r w:rsidRPr="00806A7D">
          <w:rPr>
            <w:highlight w:val="yellow"/>
          </w:rPr>
          <w:t xml:space="preserve">SPP uses the </w:t>
        </w:r>
      </w:ins>
      <w:ins w:id="145" w:author="Carrie Simpson" w:date="2011-09-14T18:08:00Z">
        <w:r w:rsidR="00096D48">
          <w:rPr>
            <w:highlight w:val="yellow"/>
          </w:rPr>
          <w:t>Intra-Day</w:t>
        </w:r>
      </w:ins>
      <w:ins w:id="146" w:author="accenture3" w:date="2011-09-13T20:29:00Z">
        <w:r w:rsidRPr="00806A7D">
          <w:rPr>
            <w:highlight w:val="yellow"/>
          </w:rPr>
          <w:t xml:space="preserve"> RUC process as a tool to assist in making unit commitment decisions and to assess potential Emergency conditions.</w:t>
        </w:r>
      </w:ins>
      <w:r w:rsidRPr="00806A7D">
        <w:rPr>
          <w:highlight w:val="yellow"/>
        </w:rPr>
        <w:t xml:space="preserve"> </w:t>
      </w:r>
      <w:ins w:id="147" w:author="accenture3" w:date="2011-09-13T20:32:00Z">
        <w:r w:rsidRPr="00806A7D">
          <w:rPr>
            <w:highlight w:val="yellow"/>
          </w:rPr>
          <w:t>As soon a practicable</w:t>
        </w:r>
      </w:ins>
      <w:ins w:id="148" w:author="accenture3" w:date="2011-09-13T20:33:00Z">
        <w:r w:rsidRPr="00806A7D">
          <w:rPr>
            <w:highlight w:val="yellow"/>
          </w:rPr>
          <w:t xml:space="preserve"> following completion of </w:t>
        </w:r>
        <w:proofErr w:type="gramStart"/>
        <w:r w:rsidRPr="00806A7D">
          <w:rPr>
            <w:highlight w:val="yellow"/>
          </w:rPr>
          <w:t>a</w:t>
        </w:r>
        <w:proofErr w:type="gramEnd"/>
        <w:r w:rsidRPr="00806A7D">
          <w:rPr>
            <w:highlight w:val="yellow"/>
          </w:rPr>
          <w:t xml:space="preserve"> Intra-Day</w:t>
        </w:r>
      </w:ins>
      <w:ins w:id="149" w:author="accenture3" w:date="2011-09-13T20:32:00Z">
        <w:r w:rsidRPr="00806A7D">
          <w:rPr>
            <w:szCs w:val="24"/>
            <w:highlight w:val="yellow"/>
          </w:rPr>
          <w:t xml:space="preserve"> RUC process, SPP communicates certain results to affected Market Participants for information purposes only regarding potential use of Emergency capacity.  SPP then updates the Current Operating Plan and start-up and/or shutdown orders are issued if needed which may be anytime </w:t>
        </w:r>
      </w:ins>
      <w:ins w:id="150" w:author="accenture3" w:date="2011-09-13T20:33:00Z">
        <w:r w:rsidRPr="00806A7D">
          <w:rPr>
            <w:szCs w:val="24"/>
            <w:highlight w:val="yellow"/>
          </w:rPr>
          <w:t xml:space="preserve">following completion of </w:t>
        </w:r>
        <w:proofErr w:type="gramStart"/>
        <w:r w:rsidRPr="00806A7D">
          <w:rPr>
            <w:szCs w:val="24"/>
            <w:highlight w:val="yellow"/>
          </w:rPr>
          <w:t>a</w:t>
        </w:r>
        <w:proofErr w:type="gramEnd"/>
        <w:r w:rsidRPr="00806A7D">
          <w:rPr>
            <w:szCs w:val="24"/>
            <w:highlight w:val="yellow"/>
          </w:rPr>
          <w:t xml:space="preserve"> Intra-Day RUC process</w:t>
        </w:r>
      </w:ins>
      <w:ins w:id="151" w:author="accenture3" w:date="2011-09-13T20:32:00Z">
        <w:r w:rsidRPr="00806A7D">
          <w:rPr>
            <w:szCs w:val="24"/>
            <w:highlight w:val="yellow"/>
          </w:rPr>
          <w:t xml:space="preserve">.  SPP implementation of Emergency procedures shall be in accordance with SPP’s responsibility as Reliability Coordinator, as described under Attachment </w:t>
        </w:r>
        <w:proofErr w:type="gramStart"/>
        <w:r w:rsidRPr="00806A7D">
          <w:rPr>
            <w:szCs w:val="24"/>
            <w:highlight w:val="yellow"/>
          </w:rPr>
          <w:t>AN</w:t>
        </w:r>
        <w:proofErr w:type="gramEnd"/>
        <w:r w:rsidRPr="00806A7D">
          <w:rPr>
            <w:szCs w:val="24"/>
            <w:highlight w:val="yellow"/>
          </w:rPr>
          <w:t xml:space="preserve"> to the SPP Tariff, and shall be in accordance with the procedures described under EOP-002 of the NERC Reliability Standards.</w:t>
        </w:r>
      </w:ins>
      <w:r>
        <w:rPr>
          <w:szCs w:val="24"/>
        </w:rPr>
        <w:t xml:space="preserve"> </w:t>
      </w:r>
      <w:r w:rsidRPr="0015115E">
        <w:rPr>
          <w:szCs w:val="24"/>
        </w:rPr>
        <w:t xml:space="preserve">  </w:t>
      </w:r>
    </w:p>
    <w:p w:rsidR="00806A7D" w:rsidRDefault="00806A7D" w:rsidP="00806A7D">
      <w:pPr>
        <w:spacing w:after="240" w:line="300" w:lineRule="auto"/>
      </w:pPr>
      <w:r>
        <w:t>The Intra-Day RUC consists of four steps: (1) process RUC inputs; (2) execute RUC algorithm; (3) evaluate</w:t>
      </w:r>
      <w:ins w:id="152" w:author="accenture2" w:date="2011-08-31T19:24:00Z">
        <w:r>
          <w:t xml:space="preserve"> and communicate</w:t>
        </w:r>
      </w:ins>
      <w:r>
        <w:t xml:space="preserve"> RUC results; and (4) </w:t>
      </w:r>
      <w:del w:id="153" w:author="accenture2" w:date="2011-08-31T19:30:00Z">
        <w:r w:rsidDel="009F303B">
          <w:delText xml:space="preserve">issue commitment/de-commitment orders </w:delText>
        </w:r>
      </w:del>
      <w:r>
        <w:t>and update Current Operating Plan</w:t>
      </w:r>
      <w:ins w:id="154" w:author="accenture2" w:date="2011-08-31T19:30:00Z">
        <w:r>
          <w:t xml:space="preserve"> as needed</w:t>
        </w:r>
      </w:ins>
      <w:r>
        <w:t>.</w:t>
      </w:r>
    </w:p>
    <w:p w:rsidR="00806A7D" w:rsidRPr="005B6CF5" w:rsidRDefault="00806A7D" w:rsidP="00806A7D">
      <w:pPr>
        <w:pStyle w:val="ListParagraph"/>
        <w:keepNext/>
        <w:numPr>
          <w:ilvl w:val="3"/>
          <w:numId w:val="0"/>
        </w:numPr>
        <w:tabs>
          <w:tab w:val="left" w:pos="1080"/>
        </w:tabs>
        <w:spacing w:before="240" w:after="240" w:line="240" w:lineRule="auto"/>
        <w:ind w:left="1080" w:hanging="1080"/>
        <w:contextualSpacing w:val="0"/>
        <w:jc w:val="both"/>
        <w:outlineLvl w:val="3"/>
        <w:rPr>
          <w:rFonts w:ascii="Times New Roman" w:hAnsi="Times New Roman"/>
          <w:b/>
          <w:vanish/>
          <w:sz w:val="26"/>
          <w:szCs w:val="26"/>
        </w:rPr>
      </w:pPr>
      <w:r w:rsidRPr="005B6CF5">
        <w:rPr>
          <w:rFonts w:ascii="Times New Roman" w:hAnsi="Times New Roman"/>
          <w:b/>
          <w:sz w:val="26"/>
          <w:szCs w:val="26"/>
        </w:rPr>
        <w:t>4.4.1.3</w:t>
      </w:r>
      <w:r w:rsidRPr="005B6CF5">
        <w:rPr>
          <w:rFonts w:ascii="Times New Roman" w:hAnsi="Times New Roman"/>
          <w:b/>
          <w:sz w:val="26"/>
          <w:szCs w:val="26"/>
        </w:rPr>
        <w:tab/>
      </w:r>
    </w:p>
    <w:p w:rsidR="00806A7D" w:rsidRPr="005B6CF5" w:rsidRDefault="00806A7D" w:rsidP="00806A7D">
      <w:pPr>
        <w:pStyle w:val="ListParagraph"/>
        <w:keepNext/>
        <w:numPr>
          <w:ilvl w:val="3"/>
          <w:numId w:val="0"/>
        </w:numPr>
        <w:tabs>
          <w:tab w:val="left" w:pos="1080"/>
        </w:tabs>
        <w:spacing w:before="240" w:after="240" w:line="240" w:lineRule="auto"/>
        <w:ind w:left="1080" w:hanging="1080"/>
        <w:contextualSpacing w:val="0"/>
        <w:jc w:val="both"/>
        <w:outlineLvl w:val="3"/>
        <w:rPr>
          <w:rFonts w:ascii="Times New Roman" w:hAnsi="Times New Roman"/>
          <w:b/>
          <w:sz w:val="26"/>
          <w:szCs w:val="26"/>
        </w:rPr>
      </w:pPr>
      <w:r w:rsidRPr="005B6CF5">
        <w:rPr>
          <w:rFonts w:ascii="Times New Roman" w:hAnsi="Times New Roman"/>
          <w:b/>
          <w:vanish/>
          <w:sz w:val="26"/>
          <w:szCs w:val="26"/>
        </w:rPr>
        <w:t>Intra</w:t>
      </w:r>
      <w:r w:rsidRPr="005B6CF5">
        <w:rPr>
          <w:rFonts w:ascii="Times New Roman" w:hAnsi="Times New Roman"/>
          <w:b/>
          <w:sz w:val="26"/>
          <w:szCs w:val="26"/>
        </w:rPr>
        <w:t>Intra-Day RUC Results</w:t>
      </w:r>
    </w:p>
    <w:p w:rsidR="00806A7D" w:rsidRPr="00BB3C8B" w:rsidRDefault="00806A7D" w:rsidP="00806A7D">
      <w:pPr>
        <w:pStyle w:val="ParaText"/>
        <w:rPr>
          <w:szCs w:val="24"/>
        </w:rPr>
      </w:pPr>
      <w:r>
        <w:rPr>
          <w:szCs w:val="24"/>
        </w:rPr>
        <w:t>SPP</w:t>
      </w:r>
      <w:r w:rsidRPr="00BB3C8B">
        <w:rPr>
          <w:szCs w:val="24"/>
        </w:rPr>
        <w:t xml:space="preserve"> </w:t>
      </w:r>
      <w:r>
        <w:rPr>
          <w:szCs w:val="24"/>
        </w:rPr>
        <w:t>electronically communicates the RUC results for each hour of the Operating Day to Market Participants as soon as practical following completion of each Intra-Day RUC execution.  These results consist of the following:</w:t>
      </w:r>
      <w:r w:rsidRPr="00BB3C8B">
        <w:rPr>
          <w:szCs w:val="24"/>
        </w:rPr>
        <w:t xml:space="preserve"> </w:t>
      </w:r>
    </w:p>
    <w:p w:rsidR="00806A7D" w:rsidDel="005B6CF5" w:rsidRDefault="00806A7D" w:rsidP="00806A7D">
      <w:pPr>
        <w:spacing w:before="120" w:after="120" w:line="300" w:lineRule="auto"/>
        <w:ind w:left="540" w:hanging="360"/>
        <w:jc w:val="both"/>
        <w:rPr>
          <w:del w:id="155" w:author="accenture2" w:date="2011-08-31T19:38:00Z"/>
        </w:rPr>
      </w:pPr>
      <w:ins w:id="156" w:author="accenture2" w:date="2011-08-31T19:38:00Z">
        <w:r w:rsidDel="005B6CF5">
          <w:t xml:space="preserve"> </w:t>
        </w:r>
      </w:ins>
      <w:del w:id="157" w:author="accenture2" w:date="2011-08-31T19:38:00Z">
        <w:r w:rsidDel="005B6CF5">
          <w:delText>(1)</w:delText>
        </w:r>
        <w:r w:rsidDel="005B6CF5">
          <w:tab/>
          <w:delText xml:space="preserve">Resource </w:delText>
        </w:r>
        <w:r w:rsidRPr="00112DE9" w:rsidDel="005B6CF5">
          <w:delText>commitment schedule</w:delText>
        </w:r>
        <w:r w:rsidDel="005B6CF5">
          <w:delText>s</w:delText>
        </w:r>
        <w:r w:rsidRPr="00112DE9" w:rsidDel="005B6CF5">
          <w:delText xml:space="preserve"> </w:delText>
        </w:r>
        <w:r w:rsidDel="005B6CF5">
          <w:delText xml:space="preserve">for Resources submitting a Commit Status of “Market” or “Reliability” as part of the RTBM Resource Offer </w:delText>
        </w:r>
        <w:r w:rsidRPr="00112DE9" w:rsidDel="005B6CF5">
          <w:delText>indicating which hours the Resource is scheduled to operate</w:delText>
        </w:r>
        <w:r w:rsidDel="005B6CF5">
          <w:delText xml:space="preserve"> for the Operating Day.</w:delText>
        </w:r>
        <w:r w:rsidRPr="001410C3" w:rsidDel="005B6CF5">
          <w:delText xml:space="preserve"> </w:delText>
        </w:r>
        <w:r w:rsidDel="005B6CF5">
          <w:delText xml:space="preserve"> </w:delText>
        </w:r>
        <w:r w:rsidRPr="00112DE9" w:rsidDel="005B6CF5">
          <w:delText xml:space="preserve">This schedule does not become </w:delText>
        </w:r>
        <w:r w:rsidDel="005B6CF5">
          <w:delText>effective</w:delText>
        </w:r>
        <w:r w:rsidRPr="00112DE9" w:rsidDel="005B6CF5">
          <w:delText xml:space="preserve"> until </w:delText>
        </w:r>
        <w:r w:rsidDel="005B6CF5">
          <w:delText xml:space="preserve">the Market Participant is issued a start-up order by </w:delText>
        </w:r>
        <w:r w:rsidRPr="00112DE9" w:rsidDel="005B6CF5">
          <w:delText>SPP</w:delText>
        </w:r>
        <w:r w:rsidDel="005B6CF5">
          <w:delText>.  SPP then updates the Current Operating Plan;</w:delText>
        </w:r>
      </w:del>
    </w:p>
    <w:p w:rsidR="00806A7D" w:rsidDel="005B6CF5" w:rsidRDefault="00806A7D" w:rsidP="00806A7D">
      <w:pPr>
        <w:pStyle w:val="ParaText"/>
        <w:spacing w:before="120"/>
        <w:ind w:left="1440"/>
        <w:rPr>
          <w:del w:id="158" w:author="accenture2" w:date="2011-08-31T19:38:00Z"/>
          <w:szCs w:val="24"/>
        </w:rPr>
      </w:pPr>
      <w:del w:id="159" w:author="accenture2" w:date="2011-08-31T19:38:00Z">
        <w:r w:rsidDel="005B6CF5">
          <w:rPr>
            <w:szCs w:val="24"/>
          </w:rPr>
          <w:delText>(a)</w:delText>
        </w:r>
        <w:r w:rsidDel="005B6CF5">
          <w:rPr>
            <w:szCs w:val="24"/>
          </w:rPr>
          <w:tab/>
          <w:delText xml:space="preserve">Resources committed by SPP in the Day-Ahead RUC that incur one or more start-up costs within the Operating Day as a result of the Day-Ahead RUC commitment are guaranteed to receive revenues that are at least equal to the Resource Offer costs for the associated cleared amount of Energy, Regulation, Spinning Reserve and/or Supplemental Reserve over the commitment period, subject to eligibility criteria, as described in Section </w:delText>
        </w:r>
        <w:r w:rsidDel="005B6CF5">
          <w:fldChar w:fldCharType="begin"/>
        </w:r>
        <w:r w:rsidDel="005B6CF5">
          <w:rPr>
            <w:szCs w:val="24"/>
          </w:rPr>
          <w:delInstrText xml:space="preserve"> REF _Ref248026494 \r \h </w:delInstrText>
        </w:r>
        <w:r w:rsidDel="005B6CF5">
          <w:fldChar w:fldCharType="separate"/>
        </w:r>
        <w:r w:rsidDel="005B6CF5">
          <w:rPr>
            <w:szCs w:val="24"/>
          </w:rPr>
          <w:delText>4.5.9.8</w:delText>
        </w:r>
        <w:r w:rsidDel="005B6CF5">
          <w:fldChar w:fldCharType="end"/>
        </w:r>
        <w:r w:rsidDel="005B6CF5">
          <w:rPr>
            <w:szCs w:val="24"/>
          </w:rPr>
          <w:delText xml:space="preserve">.  </w:delText>
        </w:r>
      </w:del>
    </w:p>
    <w:p w:rsidR="00806A7D" w:rsidDel="005B6CF5" w:rsidRDefault="00806A7D" w:rsidP="00806A7D">
      <w:pPr>
        <w:spacing w:before="120" w:after="120" w:line="300" w:lineRule="auto"/>
        <w:ind w:left="720" w:hanging="540"/>
        <w:jc w:val="both"/>
        <w:rPr>
          <w:del w:id="160" w:author="accenture2" w:date="2011-08-31T19:38:00Z"/>
        </w:rPr>
      </w:pPr>
      <w:del w:id="161" w:author="accenture2" w:date="2011-08-31T19:38:00Z">
        <w:r w:rsidDel="005B6CF5">
          <w:lastRenderedPageBreak/>
          <w:delText>(2)</w:delText>
        </w:r>
        <w:r w:rsidDel="005B6CF5">
          <w:tab/>
          <w:delText>Resource de-</w:delText>
        </w:r>
        <w:r w:rsidRPr="00112DE9" w:rsidDel="005B6CF5">
          <w:delText>commitment schedule</w:delText>
        </w:r>
        <w:r w:rsidDel="005B6CF5">
          <w:delText>s</w:delText>
        </w:r>
        <w:r w:rsidRPr="00112DE9" w:rsidDel="005B6CF5">
          <w:delText xml:space="preserve"> </w:delText>
        </w:r>
        <w:r w:rsidDel="005B6CF5">
          <w:delText>for Resources submitting a Commit Status of “Market” or “Reliability” as part of the RTBM Resource Offer, or a DA Market Commit Status or “Market”</w:delText>
        </w:r>
        <w:r w:rsidRPr="00A72BE1" w:rsidDel="005B6CF5">
          <w:delText xml:space="preserve"> </w:delText>
        </w:r>
        <w:r w:rsidDel="005B6CF5">
          <w:delText xml:space="preserve">as part of the DA Market Resource Offer, </w:delText>
        </w:r>
        <w:r w:rsidRPr="00112DE9" w:rsidDel="005B6CF5">
          <w:delText xml:space="preserve">indicating </w:delText>
        </w:r>
        <w:r w:rsidDel="005B6CF5">
          <w:delText>the</w:delText>
        </w:r>
        <w:r w:rsidRPr="00112DE9" w:rsidDel="005B6CF5">
          <w:delText xml:space="preserve"> hour the Resource is scheduled to</w:delText>
        </w:r>
        <w:r w:rsidDel="005B6CF5">
          <w:delText xml:space="preserve"> be de-committed.  T</w:delText>
        </w:r>
        <w:r w:rsidRPr="00112DE9" w:rsidDel="005B6CF5">
          <w:delText xml:space="preserve">his schedule does not become </w:delText>
        </w:r>
        <w:r w:rsidDel="005B6CF5">
          <w:delText>effective</w:delText>
        </w:r>
        <w:r w:rsidRPr="00112DE9" w:rsidDel="005B6CF5">
          <w:delText xml:space="preserve"> until </w:delText>
        </w:r>
        <w:r w:rsidDel="005B6CF5">
          <w:delText xml:space="preserve">the Market Participant is issued a shut-down order by </w:delText>
        </w:r>
        <w:r w:rsidRPr="00112DE9" w:rsidDel="005B6CF5">
          <w:delText>SPP</w:delText>
        </w:r>
        <w:r w:rsidDel="005B6CF5">
          <w:delText>.  SPP then updates the Current Operating Plan;</w:delText>
        </w:r>
      </w:del>
    </w:p>
    <w:p w:rsidR="00806A7D" w:rsidDel="005B6CF5" w:rsidRDefault="00806A7D" w:rsidP="00806A7D">
      <w:pPr>
        <w:numPr>
          <w:ilvl w:val="1"/>
          <w:numId w:val="32"/>
        </w:numPr>
        <w:spacing w:before="120" w:after="120" w:line="300" w:lineRule="auto"/>
        <w:ind w:hanging="540"/>
        <w:jc w:val="both"/>
        <w:rPr>
          <w:del w:id="162" w:author="accenture2" w:date="2011-08-31T19:38:00Z"/>
        </w:rPr>
      </w:pPr>
      <w:del w:id="163" w:author="accenture2" w:date="2011-08-31T19:38:00Z">
        <w:r w:rsidDel="005B6CF5">
          <w:delText xml:space="preserve">This de-commitment schedule may include de-commitment of Resources that were committed by SPP in the DA Market with a DA Market Commit Status of “Market” to alleviate anticipated excess supply conditions as described under Section </w:delText>
        </w:r>
        <w:r w:rsidDel="005B6CF5">
          <w:fldChar w:fldCharType="begin"/>
        </w:r>
        <w:r w:rsidDel="005B6CF5">
          <w:delInstrText xml:space="preserve"> REF _Ref270489610 \r \h </w:delInstrText>
        </w:r>
        <w:r w:rsidDel="005B6CF5">
          <w:fldChar w:fldCharType="separate"/>
        </w:r>
        <w:r w:rsidDel="005B6CF5">
          <w:delText>4.3.2.2</w:delText>
        </w:r>
        <w:r w:rsidDel="005B6CF5">
          <w:fldChar w:fldCharType="end"/>
        </w:r>
        <w:r w:rsidDel="005B6CF5">
          <w:delText>(3)(b).  T</w:delText>
        </w:r>
        <w:r w:rsidRPr="00112DE9" w:rsidDel="005B6CF5">
          <w:delText xml:space="preserve">his schedule does not become </w:delText>
        </w:r>
        <w:r w:rsidDel="005B6CF5">
          <w:delText>effective</w:delText>
        </w:r>
        <w:r w:rsidRPr="00112DE9" w:rsidDel="005B6CF5">
          <w:delText xml:space="preserve"> until </w:delText>
        </w:r>
        <w:r w:rsidDel="005B6CF5">
          <w:delText xml:space="preserve">the Market Participant is issued a shut-down order by </w:delText>
        </w:r>
        <w:r w:rsidRPr="00112DE9" w:rsidDel="005B6CF5">
          <w:delText>SPP</w:delText>
        </w:r>
        <w:r w:rsidDel="005B6CF5">
          <w:delText xml:space="preserve">.  To the extent that a shut-down order is issued to a Resource that was committed by SPP in the DA Market, that Resource is eligible for compensation under Section </w:delText>
        </w:r>
        <w:r w:rsidDel="005B6CF5">
          <w:fldChar w:fldCharType="begin"/>
        </w:r>
        <w:r w:rsidDel="005B6CF5">
          <w:delInstrText xml:space="preserve"> REF _Ref257912936 \r \h </w:delInstrText>
        </w:r>
        <w:r w:rsidDel="005B6CF5">
          <w:fldChar w:fldCharType="separate"/>
        </w:r>
        <w:r w:rsidDel="005B6CF5">
          <w:delText>4.5.9.9</w:delText>
        </w:r>
        <w:r w:rsidDel="005B6CF5">
          <w:fldChar w:fldCharType="end"/>
        </w:r>
        <w:r w:rsidDel="005B6CF5">
          <w:delText>.  SPP then updates the Current Operating Plan.</w:delText>
        </w:r>
      </w:del>
    </w:p>
    <w:p w:rsidR="00806A7D" w:rsidRPr="00163390" w:rsidRDefault="00806A7D" w:rsidP="00806A7D">
      <w:pPr>
        <w:spacing w:before="120" w:after="120" w:line="300" w:lineRule="auto"/>
        <w:ind w:left="720" w:hanging="540"/>
        <w:jc w:val="both"/>
      </w:pPr>
      <w:r>
        <w:t>(3)</w:t>
      </w:r>
      <w:r>
        <w:tab/>
        <w:t>Each Market Participant is notified regarding its Resources that are expected to be dispatched to Maximum Emergency Capacity Operating Limits.</w:t>
      </w:r>
      <w:r w:rsidRPr="00163390">
        <w:t xml:space="preserve"> </w:t>
      </w:r>
      <w:r>
        <w:t xml:space="preserve"> This notification is for information purposes only and will not become effective until confirmed by SPP prior to the affected Operating Hour.  Market Participants will be notified at </w:t>
      </w:r>
      <w:r w:rsidRPr="00042DEF">
        <w:t>least 10 minutes prior to the beginning of the Operating Hour but not more than 30 minutes prior to the beginning of the Operating Hour</w:t>
      </w:r>
      <w:r>
        <w:t xml:space="preserve"> that the Maximum Emergency Capacity Operating Limit will be used;</w:t>
      </w:r>
      <w:r w:rsidRPr="00042DEF">
        <w:t xml:space="preserve">  </w:t>
      </w:r>
    </w:p>
    <w:p w:rsidR="00806A7D" w:rsidRDefault="00806A7D" w:rsidP="00806A7D">
      <w:pPr>
        <w:spacing w:before="120" w:after="120" w:line="300" w:lineRule="auto"/>
        <w:ind w:left="720" w:hanging="540"/>
        <w:jc w:val="both"/>
      </w:pPr>
      <w:r>
        <w:t>(4)</w:t>
      </w:r>
      <w:r>
        <w:tab/>
        <w:t>Each Market Participant is notified regarding its Resources that are expected to be dispatched to Minimum Emergency Capacity Operating Limit.</w:t>
      </w:r>
      <w:r w:rsidRPr="00163390">
        <w:t xml:space="preserve"> </w:t>
      </w:r>
      <w:r>
        <w:t xml:space="preserve"> This notification is for information purposes only and will not become effective until confirmed by SPP prior to the affected Operating Hour.  Market Participants will be notified at </w:t>
      </w:r>
      <w:r w:rsidRPr="00042DEF">
        <w:t>least 10 minutes prior to the beginning of the Operating Hour but not more than 30 minutes prior to the beginning of the Operating Hour</w:t>
      </w:r>
      <w:r>
        <w:t xml:space="preserve"> that the Minimum Emergency Capacity Operating Limit will be used;</w:t>
      </w:r>
    </w:p>
    <w:p w:rsidR="00806A7D" w:rsidRDefault="00806A7D" w:rsidP="00806A7D">
      <w:pPr>
        <w:spacing w:before="120" w:after="120" w:line="300" w:lineRule="auto"/>
        <w:ind w:left="720" w:hanging="540"/>
        <w:jc w:val="both"/>
      </w:pPr>
      <w:r>
        <w:t>(5)</w:t>
      </w:r>
      <w:r>
        <w:tab/>
        <w:t>Notification that a fixed Interchange Transaction is expected to be curtailed due to excess or shortage conditions;</w:t>
      </w:r>
      <w:r w:rsidRPr="00042DEF">
        <w:t xml:space="preserve">  </w:t>
      </w:r>
    </w:p>
    <w:p w:rsidR="00806A7D" w:rsidRDefault="00806A7D" w:rsidP="00806A7D">
      <w:pPr>
        <w:pStyle w:val="Heading4"/>
        <w:numPr>
          <w:ilvl w:val="3"/>
          <w:numId w:val="0"/>
        </w:numPr>
        <w:tabs>
          <w:tab w:val="left" w:pos="1080"/>
        </w:tabs>
        <w:spacing w:after="240"/>
        <w:ind w:left="1080" w:hanging="1080"/>
        <w:jc w:val="both"/>
        <w:rPr>
          <w:ins w:id="164" w:author="accenture2" w:date="2011-08-31T19:16:00Z"/>
          <w:rFonts w:ascii="Times New Roman" w:hAnsi="Times New Roman"/>
          <w:sz w:val="26"/>
          <w:szCs w:val="26"/>
        </w:rPr>
      </w:pPr>
      <w:ins w:id="165" w:author="accenture2" w:date="2011-08-31T19:29:00Z">
        <w:r w:rsidRPr="009564A0">
          <w:rPr>
            <w:rFonts w:ascii="Times New Roman" w:hAnsi="Times New Roman"/>
            <w:sz w:val="26"/>
            <w:szCs w:val="26"/>
          </w:rPr>
          <w:t>4.</w:t>
        </w:r>
      </w:ins>
      <w:ins w:id="166" w:author="accenture2" w:date="2011-08-31T19:38:00Z">
        <w:r>
          <w:rPr>
            <w:rFonts w:ascii="Times New Roman" w:hAnsi="Times New Roman"/>
            <w:sz w:val="26"/>
            <w:szCs w:val="26"/>
          </w:rPr>
          <w:t>4</w:t>
        </w:r>
      </w:ins>
      <w:ins w:id="167" w:author="accenture2" w:date="2011-08-31T19:29:00Z">
        <w:r w:rsidRPr="009564A0">
          <w:rPr>
            <w:rFonts w:ascii="Times New Roman" w:hAnsi="Times New Roman"/>
            <w:sz w:val="26"/>
            <w:szCs w:val="26"/>
          </w:rPr>
          <w:t>.</w:t>
        </w:r>
      </w:ins>
      <w:ins w:id="168" w:author="accenture2" w:date="2011-08-31T19:38:00Z">
        <w:r>
          <w:rPr>
            <w:rFonts w:ascii="Times New Roman" w:hAnsi="Times New Roman"/>
            <w:sz w:val="26"/>
            <w:szCs w:val="26"/>
          </w:rPr>
          <w:t>1</w:t>
        </w:r>
      </w:ins>
      <w:ins w:id="169" w:author="accenture2" w:date="2011-08-31T19:29:00Z">
        <w:r w:rsidRPr="009564A0">
          <w:rPr>
            <w:rFonts w:ascii="Times New Roman" w:hAnsi="Times New Roman"/>
            <w:sz w:val="26"/>
            <w:szCs w:val="26"/>
          </w:rPr>
          <w:t>.4</w:t>
        </w:r>
        <w:r w:rsidRPr="009564A0">
          <w:rPr>
            <w:rFonts w:ascii="Times New Roman" w:hAnsi="Times New Roman"/>
            <w:sz w:val="26"/>
            <w:szCs w:val="26"/>
          </w:rPr>
          <w:tab/>
        </w:r>
      </w:ins>
      <w:ins w:id="170" w:author="accenture2" w:date="2011-08-31T19:16:00Z">
        <w:r w:rsidRPr="009564A0">
          <w:rPr>
            <w:rFonts w:ascii="Times New Roman" w:hAnsi="Times New Roman"/>
            <w:sz w:val="26"/>
            <w:szCs w:val="26"/>
          </w:rPr>
          <w:t>Update Current Operating Plan</w:t>
        </w:r>
      </w:ins>
    </w:p>
    <w:p w:rsidR="00806A7D" w:rsidRDefault="00806A7D" w:rsidP="00806A7D">
      <w:pPr>
        <w:spacing w:before="120" w:after="120" w:line="300" w:lineRule="auto"/>
        <w:ind w:left="720" w:hanging="540"/>
        <w:jc w:val="both"/>
        <w:rPr>
          <w:ins w:id="171" w:author="accenture2" w:date="2011-08-31T19:16:00Z"/>
        </w:rPr>
      </w:pPr>
      <w:ins w:id="172" w:author="accenture2" w:date="2011-08-31T19:39:00Z">
        <w:r>
          <w:t>(1)</w:t>
        </w:r>
        <w:r>
          <w:tab/>
        </w:r>
      </w:ins>
      <w:ins w:id="173" w:author="accenture2" w:date="2011-08-31T19:16:00Z">
        <w:r>
          <w:t xml:space="preserve">Using the results from the </w:t>
        </w:r>
      </w:ins>
      <w:ins w:id="174" w:author="accenture2" w:date="2011-08-31T19:41:00Z">
        <w:r>
          <w:t>Intra-Day</w:t>
        </w:r>
      </w:ins>
      <w:ins w:id="175" w:author="accenture2" w:date="2011-08-31T19:16:00Z">
        <w:r>
          <w:t xml:space="preserve"> RUC analysis, SPP may issue start-up orders to Resources with a Commit Status of “Market” or “Reliability” at any time following </w:t>
        </w:r>
      </w:ins>
      <w:ins w:id="176" w:author="Carrie Simpson" w:date="2011-09-06T18:07:00Z">
        <w:r>
          <w:t>Intra-Day RUC analysis</w:t>
        </w:r>
      </w:ins>
      <w:ins w:id="177" w:author="accenture2" w:date="2011-08-31T19:16:00Z">
        <w:r>
          <w:t xml:space="preserve">.   When </w:t>
        </w:r>
      </w:ins>
      <w:ins w:id="178" w:author="Carrie Simpson" w:date="2011-09-06T18:03:00Z">
        <w:r>
          <w:t xml:space="preserve">SPP updates the Current Operating Plan, </w:t>
        </w:r>
      </w:ins>
      <w:ins w:id="179" w:author="accenture2" w:date="2011-08-31T19:16:00Z">
        <w:r>
          <w:t>these start-up orders are issued</w:t>
        </w:r>
      </w:ins>
      <w:ins w:id="180" w:author="Carrie Simpson" w:date="2011-09-06T18:04:00Z">
        <w:r>
          <w:t>.</w:t>
        </w:r>
      </w:ins>
    </w:p>
    <w:p w:rsidR="00806A7D" w:rsidRDefault="00806A7D" w:rsidP="00806A7D">
      <w:pPr>
        <w:pStyle w:val="ParaText"/>
        <w:spacing w:before="120"/>
        <w:ind w:left="1440" w:hanging="540"/>
        <w:rPr>
          <w:ins w:id="181" w:author="accenture2" w:date="2011-08-31T19:16:00Z"/>
          <w:szCs w:val="24"/>
        </w:rPr>
      </w:pPr>
      <w:ins w:id="182" w:author="accenture2" w:date="2011-08-31T19:16:00Z">
        <w:r>
          <w:rPr>
            <w:szCs w:val="24"/>
          </w:rPr>
          <w:t>(a)</w:t>
        </w:r>
        <w:r>
          <w:rPr>
            <w:szCs w:val="24"/>
          </w:rPr>
          <w:tab/>
          <w:t xml:space="preserve">Resources that incur one or more start-up costs within the Operating Day as a result of SPP start-up orders are guaranteed to receive revenues that are at least equal to the RTBM Resource Offer costs for actual Energy supplied and, Regulation, Spinning Reserve and/or Supplemental Reserve cleared in the RTBM over the commitment period, subject to eligibility criteria, as described in Section </w:t>
        </w:r>
        <w:r>
          <w:rPr>
            <w:szCs w:val="24"/>
          </w:rPr>
          <w:fldChar w:fldCharType="begin"/>
        </w:r>
        <w:r>
          <w:rPr>
            <w:szCs w:val="24"/>
          </w:rPr>
          <w:instrText xml:space="preserve"> REF _Ref248026494 \r \h </w:instrText>
        </w:r>
      </w:ins>
      <w:r>
        <w:rPr>
          <w:szCs w:val="24"/>
        </w:rPr>
      </w:r>
      <w:ins w:id="183" w:author="accenture2" w:date="2011-08-31T19:16:00Z">
        <w:r>
          <w:rPr>
            <w:szCs w:val="24"/>
          </w:rPr>
          <w:fldChar w:fldCharType="separate"/>
        </w:r>
        <w:r>
          <w:rPr>
            <w:szCs w:val="24"/>
          </w:rPr>
          <w:t>4.5.9.8</w:t>
        </w:r>
        <w:r>
          <w:rPr>
            <w:szCs w:val="24"/>
          </w:rPr>
          <w:fldChar w:fldCharType="end"/>
        </w:r>
        <w:r>
          <w:rPr>
            <w:szCs w:val="24"/>
          </w:rPr>
          <w:t xml:space="preserve">.  </w:t>
        </w:r>
      </w:ins>
    </w:p>
    <w:p w:rsidR="00806A7D" w:rsidRDefault="00806A7D" w:rsidP="00806A7D">
      <w:pPr>
        <w:spacing w:before="120" w:after="120" w:line="300" w:lineRule="auto"/>
        <w:ind w:left="720" w:hanging="540"/>
        <w:jc w:val="both"/>
        <w:rPr>
          <w:ins w:id="184" w:author="accenture2" w:date="2011-08-31T19:16:00Z"/>
        </w:rPr>
      </w:pPr>
      <w:ins w:id="185" w:author="accenture2" w:date="2011-08-31T19:39:00Z">
        <w:r>
          <w:lastRenderedPageBreak/>
          <w:t>(2)</w:t>
        </w:r>
        <w:r>
          <w:tab/>
        </w:r>
      </w:ins>
      <w:ins w:id="186" w:author="accenture2" w:date="2011-08-31T19:16:00Z">
        <w:r>
          <w:t xml:space="preserve">Using the results from the </w:t>
        </w:r>
      </w:ins>
      <w:ins w:id="187" w:author="accenture2" w:date="2011-08-31T19:41:00Z">
        <w:r>
          <w:t>Intra-Day</w:t>
        </w:r>
      </w:ins>
      <w:ins w:id="188" w:author="accenture2" w:date="2011-08-31T19:16:00Z">
        <w:r>
          <w:t xml:space="preserve"> RUC analysis, SPP may issue shut-down orders to SPP committed Resources that were issued start-up orders in (1) above or may issue  changes to a shut-down order for SPP committed Resources in the DA Market at any time following </w:t>
        </w:r>
      </w:ins>
      <w:ins w:id="189" w:author="Carrie Simpson" w:date="2011-09-06T18:07:00Z">
        <w:r>
          <w:t>Intra-Day RUC analysis</w:t>
        </w:r>
      </w:ins>
      <w:ins w:id="190" w:author="accenture2" w:date="2011-08-31T19:16:00Z">
        <w:r>
          <w:t>.</w:t>
        </w:r>
        <w:r w:rsidRPr="00AB5ECA">
          <w:t xml:space="preserve"> </w:t>
        </w:r>
      </w:ins>
      <w:ins w:id="191" w:author="Carrie Simpson" w:date="2011-09-06T18:04:00Z">
        <w:r>
          <w:t xml:space="preserve">When </w:t>
        </w:r>
      </w:ins>
      <w:ins w:id="192" w:author="accenture2" w:date="2011-08-31T19:16:00Z">
        <w:r>
          <w:t>SPP updates the Current Operating Plan</w:t>
        </w:r>
      </w:ins>
      <w:ins w:id="193" w:author="Carrie Simpson" w:date="2011-09-06T18:04:00Z">
        <w:r>
          <w:t>, these shut-down orders are issued</w:t>
        </w:r>
      </w:ins>
      <w:ins w:id="194" w:author="accenture2" w:date="2011-08-31T19:16:00Z">
        <w:r>
          <w:t>.</w:t>
        </w:r>
      </w:ins>
    </w:p>
    <w:p w:rsidR="00806A7D" w:rsidRDefault="00806A7D" w:rsidP="00806A7D">
      <w:pPr>
        <w:spacing w:before="120" w:after="120" w:line="300" w:lineRule="auto"/>
        <w:ind w:left="1440" w:hanging="540"/>
        <w:jc w:val="both"/>
        <w:rPr>
          <w:ins w:id="195" w:author="accenture2" w:date="2011-08-31T19:16:00Z"/>
        </w:rPr>
      </w:pPr>
      <w:ins w:id="196" w:author="accenture2" w:date="2011-08-31T19:39:00Z">
        <w:r>
          <w:t>(a)</w:t>
        </w:r>
        <w:r>
          <w:tab/>
        </w:r>
      </w:ins>
      <w:ins w:id="197" w:author="accenture2" w:date="2011-08-31T19:16:00Z">
        <w:r>
          <w:t xml:space="preserve">SPP may only issue changes to shut-down orders issued as part of the DA Market results to address an anticipated excess supply condition as described under Section </w:t>
        </w:r>
        <w:r>
          <w:fldChar w:fldCharType="begin"/>
        </w:r>
        <w:r>
          <w:instrText xml:space="preserve"> REF _Ref270489610 \r \h </w:instrText>
        </w:r>
      </w:ins>
      <w:ins w:id="198" w:author="accenture2" w:date="2011-08-31T19:16:00Z">
        <w:r>
          <w:fldChar w:fldCharType="separate"/>
        </w:r>
        <w:r>
          <w:t>4.3.2.2</w:t>
        </w:r>
        <w:r>
          <w:fldChar w:fldCharType="end"/>
        </w:r>
        <w:r>
          <w:t xml:space="preserve">(3)(b) and/or to address any other Emergency conditions.   To the extent that a change in a shut-down order is issued by SPP to a Resource that was committed by SPP in the DA Market causes that Resource to buy back its Energy and/or Operating Reserve position at RTBM prices that exceed the DA Market prices for the comparable products, that Resource is eligible for compensation under Section </w:t>
        </w:r>
        <w:r>
          <w:fldChar w:fldCharType="begin"/>
        </w:r>
        <w:r>
          <w:instrText xml:space="preserve"> REF _Ref257912936 \r \h </w:instrText>
        </w:r>
      </w:ins>
      <w:ins w:id="199" w:author="accenture2" w:date="2011-08-31T19:16:00Z">
        <w:r>
          <w:fldChar w:fldCharType="separate"/>
        </w:r>
        <w:r>
          <w:t>4.5.9.9</w:t>
        </w:r>
        <w:r>
          <w:fldChar w:fldCharType="end"/>
        </w:r>
        <w:r>
          <w:t xml:space="preserve">.  </w:t>
        </w:r>
      </w:ins>
    </w:p>
    <w:p w:rsidR="007D6D81" w:rsidRPr="007D6D81" w:rsidRDefault="007D6D81" w:rsidP="007D6D81">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7D6D81" w:rsidRPr="003406F4" w:rsidTr="00873A3D">
        <w:trPr>
          <w:trHeight w:val="346"/>
        </w:trPr>
        <w:tc>
          <w:tcPr>
            <w:tcW w:w="10512" w:type="dxa"/>
            <w:vAlign w:val="center"/>
          </w:tcPr>
          <w:p w:rsidR="007D6D81" w:rsidRPr="003406F4" w:rsidRDefault="007D6D81" w:rsidP="003406F4">
            <w:pPr>
              <w:pStyle w:val="Header"/>
              <w:jc w:val="center"/>
              <w:rPr>
                <w:rFonts w:ascii="Arial" w:hAnsi="Arial" w:cs="Arial"/>
                <w:b/>
                <w:sz w:val="20"/>
                <w:szCs w:val="20"/>
              </w:rPr>
            </w:pPr>
            <w:r w:rsidRPr="003406F4">
              <w:rPr>
                <w:rFonts w:ascii="Arial" w:hAnsi="Arial" w:cs="Arial"/>
                <w:b/>
                <w:sz w:val="20"/>
                <w:szCs w:val="20"/>
              </w:rPr>
              <w:t>Revised Proposed Tariff Language</w:t>
            </w:r>
            <w:r w:rsidR="009F2FCB" w:rsidRPr="003406F4">
              <w:rPr>
                <w:rFonts w:ascii="Arial" w:hAnsi="Arial" w:cs="Arial"/>
                <w:b/>
                <w:sz w:val="20"/>
                <w:szCs w:val="20"/>
              </w:rPr>
              <w:t xml:space="preserve"> Revision</w:t>
            </w:r>
          </w:p>
        </w:tc>
      </w:tr>
    </w:tbl>
    <w:p w:rsidR="009F2FCB" w:rsidRDefault="009F2FCB" w:rsidP="009F2FCB">
      <w:pPr>
        <w:rPr>
          <w:rFonts w:ascii="Arial" w:hAnsi="Arial" w:cs="Arial"/>
          <w:sz w:val="20"/>
          <w:szCs w:val="20"/>
        </w:rPr>
      </w:pPr>
    </w:p>
    <w:p w:rsidR="009F2FCB" w:rsidRPr="007D6D81" w:rsidRDefault="00EB1DF9" w:rsidP="009F2FCB">
      <w:pPr>
        <w:rPr>
          <w:rFonts w:ascii="Arial" w:hAnsi="Arial" w:cs="Arial"/>
          <w:sz w:val="20"/>
          <w:szCs w:val="20"/>
        </w:rPr>
      </w:pPr>
      <w:r>
        <w:rPr>
          <w:rFonts w:ascii="Arial" w:hAnsi="Arial" w:cs="Arial"/>
          <w:sz w:val="20"/>
          <w:szCs w:val="20"/>
        </w:rPr>
        <w:t>N/A</w:t>
      </w:r>
    </w:p>
    <w:p w:rsidR="009F2FCB" w:rsidRPr="007D6D81" w:rsidRDefault="009F2FCB" w:rsidP="009F2FCB">
      <w:pPr>
        <w:rPr>
          <w:rFonts w:ascii="Arial" w:hAnsi="Arial" w:cs="Arial"/>
          <w:sz w:val="20"/>
          <w:szCs w:val="20"/>
        </w:rPr>
      </w:pPr>
    </w:p>
    <w:p w:rsidR="009F2FCB" w:rsidRPr="007D6D81" w:rsidRDefault="009F2FCB" w:rsidP="009F2FCB">
      <w:pPr>
        <w:rPr>
          <w:rFonts w:ascii="Arial" w:hAnsi="Arial" w:cs="Arial"/>
          <w:sz w:val="20"/>
          <w:szCs w:val="20"/>
        </w:rPr>
      </w:pPr>
    </w:p>
    <w:p w:rsidR="009F2FCB" w:rsidRPr="007D6D81" w:rsidRDefault="009F2FCB" w:rsidP="009F2FCB">
      <w:pPr>
        <w:rPr>
          <w:rFonts w:ascii="Arial" w:hAnsi="Arial" w:cs="Arial"/>
          <w:sz w:val="20"/>
          <w:szCs w:val="20"/>
        </w:rPr>
      </w:pPr>
    </w:p>
    <w:p w:rsidR="009F2FCB" w:rsidRPr="007D6D81" w:rsidRDefault="009F2FCB" w:rsidP="009F2FCB">
      <w:pPr>
        <w:rPr>
          <w:rFonts w:ascii="Arial" w:hAnsi="Arial" w:cs="Arial"/>
          <w:sz w:val="20"/>
          <w:szCs w:val="20"/>
        </w:rPr>
      </w:pPr>
    </w:p>
    <w:p w:rsidR="007D6D81" w:rsidRDefault="007D6D81" w:rsidP="007D6D81">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9F2FCB" w:rsidRPr="003406F4" w:rsidTr="00873A3D">
        <w:trPr>
          <w:trHeight w:val="346"/>
        </w:trPr>
        <w:tc>
          <w:tcPr>
            <w:tcW w:w="10512" w:type="dxa"/>
            <w:vAlign w:val="center"/>
          </w:tcPr>
          <w:p w:rsidR="009F2FCB" w:rsidRPr="003406F4" w:rsidRDefault="009F2FCB" w:rsidP="003406F4">
            <w:pPr>
              <w:pStyle w:val="Header"/>
              <w:jc w:val="center"/>
              <w:rPr>
                <w:rFonts w:ascii="Arial" w:hAnsi="Arial" w:cs="Arial"/>
                <w:b/>
                <w:sz w:val="20"/>
                <w:szCs w:val="20"/>
              </w:rPr>
            </w:pPr>
            <w:r w:rsidRPr="003406F4">
              <w:rPr>
                <w:rFonts w:ascii="Arial" w:hAnsi="Arial" w:cs="Arial"/>
                <w:b/>
                <w:sz w:val="20"/>
                <w:szCs w:val="20"/>
              </w:rPr>
              <w:t>Revised Proposed Criteria Language Revision</w:t>
            </w:r>
          </w:p>
        </w:tc>
      </w:tr>
    </w:tbl>
    <w:p w:rsidR="00EB1DF9" w:rsidRDefault="00EB1DF9" w:rsidP="007D6D81">
      <w:pPr>
        <w:rPr>
          <w:rFonts w:ascii="Arial" w:hAnsi="Arial" w:cs="Arial"/>
          <w:sz w:val="20"/>
          <w:szCs w:val="20"/>
        </w:rPr>
      </w:pPr>
    </w:p>
    <w:p w:rsidR="00D545F2" w:rsidRPr="00EB1DF9" w:rsidRDefault="00EB1DF9" w:rsidP="00EB1DF9">
      <w:pPr>
        <w:rPr>
          <w:rFonts w:ascii="Arial" w:hAnsi="Arial" w:cs="Arial"/>
          <w:sz w:val="20"/>
          <w:szCs w:val="20"/>
        </w:rPr>
      </w:pPr>
      <w:r>
        <w:rPr>
          <w:rFonts w:ascii="Arial" w:hAnsi="Arial" w:cs="Arial"/>
          <w:sz w:val="20"/>
          <w:szCs w:val="20"/>
        </w:rPr>
        <w:t>N/A</w:t>
      </w:r>
    </w:p>
    <w:sectPr w:rsidR="00D545F2" w:rsidRPr="00EB1DF9" w:rsidSect="00371158">
      <w:footerReference w:type="default" r:id="rId1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A1A" w:rsidRDefault="00681A1A">
      <w:r>
        <w:separator/>
      </w:r>
    </w:p>
  </w:endnote>
  <w:endnote w:type="continuationSeparator" w:id="0">
    <w:p w:rsidR="00681A1A" w:rsidRDefault="00681A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796" w:rsidRPr="00371158" w:rsidRDefault="008B48D4" w:rsidP="00371158">
    <w:pPr>
      <w:pStyle w:val="Footer"/>
      <w:pBdr>
        <w:top w:val="single" w:sz="4" w:space="1" w:color="auto"/>
      </w:pBdr>
      <w:tabs>
        <w:tab w:val="clear" w:pos="4320"/>
        <w:tab w:val="clear" w:pos="8640"/>
        <w:tab w:val="right" w:pos="9360"/>
      </w:tabs>
      <w:rPr>
        <w:sz w:val="18"/>
      </w:rPr>
    </w:pPr>
    <w:r w:rsidRPr="00376DD5">
      <w:rPr>
        <w:sz w:val="18"/>
      </w:rPr>
      <w:fldChar w:fldCharType="begin"/>
    </w:r>
    <w:r w:rsidR="00B921A8" w:rsidRPr="00376DD5">
      <w:rPr>
        <w:sz w:val="18"/>
      </w:rPr>
      <w:instrText xml:space="preserve"> FILENAME </w:instrText>
    </w:r>
    <w:r w:rsidRPr="00376DD5">
      <w:rPr>
        <w:sz w:val="18"/>
      </w:rPr>
      <w:fldChar w:fldCharType="separate"/>
    </w:r>
    <w:r w:rsidR="00CB7154">
      <w:rPr>
        <w:noProof/>
        <w:sz w:val="18"/>
      </w:rPr>
      <w:t>MPRR 36 SPP Comments 9-15-2011.docx</w:t>
    </w:r>
    <w:r w:rsidRPr="00376DD5">
      <w:rPr>
        <w:sz w:val="18"/>
      </w:rPr>
      <w:fldChar w:fldCharType="end"/>
    </w:r>
    <w:r w:rsidR="00B921A8" w:rsidRPr="00376DD5">
      <w:rPr>
        <w:sz w:val="18"/>
      </w:rPr>
      <w:tab/>
      <w:t xml:space="preserve">Page </w:t>
    </w:r>
    <w:r w:rsidRPr="00376DD5">
      <w:rPr>
        <w:sz w:val="18"/>
      </w:rPr>
      <w:fldChar w:fldCharType="begin"/>
    </w:r>
    <w:r w:rsidR="00B921A8" w:rsidRPr="00376DD5">
      <w:rPr>
        <w:sz w:val="18"/>
      </w:rPr>
      <w:instrText xml:space="preserve"> PAGE </w:instrText>
    </w:r>
    <w:r w:rsidRPr="00376DD5">
      <w:rPr>
        <w:sz w:val="18"/>
      </w:rPr>
      <w:fldChar w:fldCharType="separate"/>
    </w:r>
    <w:r w:rsidR="00CB7154">
      <w:rPr>
        <w:noProof/>
        <w:sz w:val="18"/>
      </w:rPr>
      <w:t>1</w:t>
    </w:r>
    <w:r w:rsidRPr="00376DD5">
      <w:rPr>
        <w:sz w:val="18"/>
      </w:rPr>
      <w:fldChar w:fldCharType="end"/>
    </w:r>
    <w:r w:rsidR="00B921A8" w:rsidRPr="00376DD5">
      <w:rPr>
        <w:sz w:val="18"/>
      </w:rPr>
      <w:t xml:space="preserve"> of </w:t>
    </w:r>
    <w:r w:rsidRPr="00376DD5">
      <w:rPr>
        <w:sz w:val="18"/>
      </w:rPr>
      <w:fldChar w:fldCharType="begin"/>
    </w:r>
    <w:r w:rsidR="00B921A8" w:rsidRPr="00376DD5">
      <w:rPr>
        <w:sz w:val="18"/>
      </w:rPr>
      <w:instrText xml:space="preserve"> NUMPAGES </w:instrText>
    </w:r>
    <w:r w:rsidRPr="00376DD5">
      <w:rPr>
        <w:sz w:val="18"/>
      </w:rPr>
      <w:fldChar w:fldCharType="separate"/>
    </w:r>
    <w:r w:rsidR="00CB7154">
      <w:rPr>
        <w:noProof/>
        <w:sz w:val="18"/>
      </w:rPr>
      <w:t>6</w:t>
    </w:r>
    <w:r w:rsidRPr="00376DD5">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A1A" w:rsidRDefault="00681A1A">
      <w:r>
        <w:separator/>
      </w:r>
    </w:p>
  </w:footnote>
  <w:footnote w:type="continuationSeparator" w:id="0">
    <w:p w:rsidR="00681A1A" w:rsidRDefault="00681A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188B4222"/>
    <w:multiLevelType w:val="hybridMultilevel"/>
    <w:tmpl w:val="B76C4C22"/>
    <w:lvl w:ilvl="0" w:tplc="7FE60B22">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7601B3C"/>
    <w:multiLevelType w:val="hybridMultilevel"/>
    <w:tmpl w:val="E1D407C0"/>
    <w:lvl w:ilvl="0" w:tplc="C9BCB58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BF77A4"/>
    <w:multiLevelType w:val="hybridMultilevel"/>
    <w:tmpl w:val="49C67F40"/>
    <w:lvl w:ilvl="0" w:tplc="629A4814">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Symbol"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Symbol"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D841C6"/>
    <w:multiLevelType w:val="hybridMultilevel"/>
    <w:tmpl w:val="2EBE9AB2"/>
    <w:lvl w:ilvl="0" w:tplc="C9BCB58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4A0A29"/>
    <w:multiLevelType w:val="hybridMultilevel"/>
    <w:tmpl w:val="1B90C02A"/>
    <w:lvl w:ilvl="0" w:tplc="7C705046">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9"/>
  </w:num>
  <w:num w:numId="13">
    <w:abstractNumId w:val="13"/>
  </w:num>
  <w:num w:numId="14">
    <w:abstractNumId w:val="27"/>
  </w:num>
  <w:num w:numId="15">
    <w:abstractNumId w:val="26"/>
  </w:num>
  <w:num w:numId="16">
    <w:abstractNumId w:val="11"/>
  </w:num>
  <w:num w:numId="17">
    <w:abstractNumId w:val="18"/>
  </w:num>
  <w:num w:numId="1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4"/>
  </w:num>
  <w:num w:numId="22">
    <w:abstractNumId w:val="28"/>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0"/>
  </w:num>
  <w:num w:numId="27">
    <w:abstractNumId w:val="19"/>
  </w:num>
  <w:num w:numId="28">
    <w:abstractNumId w:val="15"/>
  </w:num>
  <w:num w:numId="29">
    <w:abstractNumId w:val="21"/>
  </w:num>
  <w:num w:numId="30">
    <w:abstractNumId w:val="22"/>
  </w:num>
  <w:num w:numId="31">
    <w:abstractNumId w:val="17"/>
  </w:num>
  <w:num w:numId="32">
    <w:abstractNumId w:val="23"/>
  </w:num>
  <w:num w:numId="33">
    <w:abstractNumId w:val="14"/>
  </w:num>
  <w:num w:numId="3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oNotTrackMoves/>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30096"/>
    <w:rsid w:val="00033889"/>
    <w:rsid w:val="000338BB"/>
    <w:rsid w:val="00034C21"/>
    <w:rsid w:val="00034E93"/>
    <w:rsid w:val="00035AA5"/>
    <w:rsid w:val="00041A06"/>
    <w:rsid w:val="0004331B"/>
    <w:rsid w:val="000441F4"/>
    <w:rsid w:val="00047575"/>
    <w:rsid w:val="00055482"/>
    <w:rsid w:val="000559C0"/>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29F5"/>
    <w:rsid w:val="0009396F"/>
    <w:rsid w:val="00094304"/>
    <w:rsid w:val="000946C3"/>
    <w:rsid w:val="00096AC6"/>
    <w:rsid w:val="00096D48"/>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3EB"/>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11C0"/>
    <w:rsid w:val="001226F8"/>
    <w:rsid w:val="00124468"/>
    <w:rsid w:val="00125C45"/>
    <w:rsid w:val="001261E2"/>
    <w:rsid w:val="0012669E"/>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1AF5"/>
    <w:rsid w:val="001E7DE6"/>
    <w:rsid w:val="001F00E6"/>
    <w:rsid w:val="001F013C"/>
    <w:rsid w:val="001F2EC5"/>
    <w:rsid w:val="001F544E"/>
    <w:rsid w:val="00200084"/>
    <w:rsid w:val="00202DA8"/>
    <w:rsid w:val="00202F7C"/>
    <w:rsid w:val="002030E0"/>
    <w:rsid w:val="00203E0E"/>
    <w:rsid w:val="002064B0"/>
    <w:rsid w:val="002124C8"/>
    <w:rsid w:val="00214A66"/>
    <w:rsid w:val="00214B13"/>
    <w:rsid w:val="00216156"/>
    <w:rsid w:val="002166CE"/>
    <w:rsid w:val="002219A6"/>
    <w:rsid w:val="00221CB4"/>
    <w:rsid w:val="00226003"/>
    <w:rsid w:val="0022617C"/>
    <w:rsid w:val="00235E47"/>
    <w:rsid w:val="00236C82"/>
    <w:rsid w:val="002411AA"/>
    <w:rsid w:val="00245A9E"/>
    <w:rsid w:val="002511AF"/>
    <w:rsid w:val="002526BB"/>
    <w:rsid w:val="00260498"/>
    <w:rsid w:val="00261024"/>
    <w:rsid w:val="0026213E"/>
    <w:rsid w:val="00265C89"/>
    <w:rsid w:val="00266586"/>
    <w:rsid w:val="0026674A"/>
    <w:rsid w:val="00266ADD"/>
    <w:rsid w:val="00270143"/>
    <w:rsid w:val="002702F7"/>
    <w:rsid w:val="00270A39"/>
    <w:rsid w:val="00272B89"/>
    <w:rsid w:val="00272ECE"/>
    <w:rsid w:val="00273D9C"/>
    <w:rsid w:val="002805F9"/>
    <w:rsid w:val="00282357"/>
    <w:rsid w:val="00282A7A"/>
    <w:rsid w:val="002835F3"/>
    <w:rsid w:val="00283E3E"/>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6F4"/>
    <w:rsid w:val="003409B8"/>
    <w:rsid w:val="00340C08"/>
    <w:rsid w:val="00340FAC"/>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1158"/>
    <w:rsid w:val="0037611B"/>
    <w:rsid w:val="00376A72"/>
    <w:rsid w:val="00380C85"/>
    <w:rsid w:val="00382B5A"/>
    <w:rsid w:val="003850D8"/>
    <w:rsid w:val="0038620B"/>
    <w:rsid w:val="00386DE6"/>
    <w:rsid w:val="003915FD"/>
    <w:rsid w:val="003920E0"/>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2F9A"/>
    <w:rsid w:val="003D5C91"/>
    <w:rsid w:val="003D774F"/>
    <w:rsid w:val="003D7D8B"/>
    <w:rsid w:val="003E2DA7"/>
    <w:rsid w:val="003E2EE4"/>
    <w:rsid w:val="003E3ACC"/>
    <w:rsid w:val="003E6569"/>
    <w:rsid w:val="003E68F3"/>
    <w:rsid w:val="003E6A9A"/>
    <w:rsid w:val="003F0893"/>
    <w:rsid w:val="003F350B"/>
    <w:rsid w:val="003F4BB8"/>
    <w:rsid w:val="003F50A0"/>
    <w:rsid w:val="003F583A"/>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06C7"/>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493B"/>
    <w:rsid w:val="004756C1"/>
    <w:rsid w:val="0048719F"/>
    <w:rsid w:val="00491070"/>
    <w:rsid w:val="00491533"/>
    <w:rsid w:val="00492889"/>
    <w:rsid w:val="00492AE3"/>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3633"/>
    <w:rsid w:val="00524F5B"/>
    <w:rsid w:val="00526C83"/>
    <w:rsid w:val="00526DC6"/>
    <w:rsid w:val="00530E8F"/>
    <w:rsid w:val="00533150"/>
    <w:rsid w:val="00535D98"/>
    <w:rsid w:val="00541069"/>
    <w:rsid w:val="00541237"/>
    <w:rsid w:val="00542980"/>
    <w:rsid w:val="005442BE"/>
    <w:rsid w:val="005450BD"/>
    <w:rsid w:val="005460B8"/>
    <w:rsid w:val="005506DC"/>
    <w:rsid w:val="005509B9"/>
    <w:rsid w:val="00555606"/>
    <w:rsid w:val="0056079D"/>
    <w:rsid w:val="00562985"/>
    <w:rsid w:val="00563E52"/>
    <w:rsid w:val="005676A8"/>
    <w:rsid w:val="005716DF"/>
    <w:rsid w:val="005718A2"/>
    <w:rsid w:val="00571956"/>
    <w:rsid w:val="00572618"/>
    <w:rsid w:val="005730BC"/>
    <w:rsid w:val="00577DB3"/>
    <w:rsid w:val="0058475D"/>
    <w:rsid w:val="00586F30"/>
    <w:rsid w:val="00590BA6"/>
    <w:rsid w:val="00594295"/>
    <w:rsid w:val="00594374"/>
    <w:rsid w:val="00594ADC"/>
    <w:rsid w:val="005A1748"/>
    <w:rsid w:val="005A203D"/>
    <w:rsid w:val="005A4CCF"/>
    <w:rsid w:val="005B2AAE"/>
    <w:rsid w:val="005B2B44"/>
    <w:rsid w:val="005B5D61"/>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168"/>
    <w:rsid w:val="005F785A"/>
    <w:rsid w:val="00600D7A"/>
    <w:rsid w:val="006011CB"/>
    <w:rsid w:val="006021A5"/>
    <w:rsid w:val="00603085"/>
    <w:rsid w:val="00605217"/>
    <w:rsid w:val="00605729"/>
    <w:rsid w:val="00606901"/>
    <w:rsid w:val="006120A2"/>
    <w:rsid w:val="00621592"/>
    <w:rsid w:val="00621A8E"/>
    <w:rsid w:val="00625CC0"/>
    <w:rsid w:val="00627C54"/>
    <w:rsid w:val="0063085F"/>
    <w:rsid w:val="0063433C"/>
    <w:rsid w:val="00640DF7"/>
    <w:rsid w:val="00641736"/>
    <w:rsid w:val="00641C56"/>
    <w:rsid w:val="00643FA4"/>
    <w:rsid w:val="00644E71"/>
    <w:rsid w:val="00646CBF"/>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8F"/>
    <w:rsid w:val="00681A1A"/>
    <w:rsid w:val="006836E7"/>
    <w:rsid w:val="0068378E"/>
    <w:rsid w:val="00683EE5"/>
    <w:rsid w:val="006848B6"/>
    <w:rsid w:val="00684F02"/>
    <w:rsid w:val="00685586"/>
    <w:rsid w:val="006875A6"/>
    <w:rsid w:val="00691404"/>
    <w:rsid w:val="00692374"/>
    <w:rsid w:val="00694067"/>
    <w:rsid w:val="00695542"/>
    <w:rsid w:val="00695D14"/>
    <w:rsid w:val="006A1BE3"/>
    <w:rsid w:val="006A1DCF"/>
    <w:rsid w:val="006A2481"/>
    <w:rsid w:val="006A3D79"/>
    <w:rsid w:val="006A41EE"/>
    <w:rsid w:val="006B287C"/>
    <w:rsid w:val="006B46E0"/>
    <w:rsid w:val="006B6128"/>
    <w:rsid w:val="006B7D0F"/>
    <w:rsid w:val="006C0853"/>
    <w:rsid w:val="006C41EB"/>
    <w:rsid w:val="006C6978"/>
    <w:rsid w:val="006C6E56"/>
    <w:rsid w:val="006D2DA1"/>
    <w:rsid w:val="006D38A8"/>
    <w:rsid w:val="006D541E"/>
    <w:rsid w:val="006D5E9F"/>
    <w:rsid w:val="006D6A9F"/>
    <w:rsid w:val="006E10E6"/>
    <w:rsid w:val="006E1DE1"/>
    <w:rsid w:val="006E2E71"/>
    <w:rsid w:val="006E40F0"/>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2740"/>
    <w:rsid w:val="00713A6F"/>
    <w:rsid w:val="00713E96"/>
    <w:rsid w:val="00715858"/>
    <w:rsid w:val="007247EA"/>
    <w:rsid w:val="00725A0A"/>
    <w:rsid w:val="00726EC3"/>
    <w:rsid w:val="00727709"/>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459F"/>
    <w:rsid w:val="00747A67"/>
    <w:rsid w:val="00752723"/>
    <w:rsid w:val="00752DB2"/>
    <w:rsid w:val="00755FD1"/>
    <w:rsid w:val="00757330"/>
    <w:rsid w:val="00760CF7"/>
    <w:rsid w:val="00761651"/>
    <w:rsid w:val="00761A89"/>
    <w:rsid w:val="007638A9"/>
    <w:rsid w:val="00763976"/>
    <w:rsid w:val="00766CFE"/>
    <w:rsid w:val="00767FBD"/>
    <w:rsid w:val="00771278"/>
    <w:rsid w:val="00772CB5"/>
    <w:rsid w:val="00773616"/>
    <w:rsid w:val="00773698"/>
    <w:rsid w:val="007751E6"/>
    <w:rsid w:val="00775ED5"/>
    <w:rsid w:val="007778F6"/>
    <w:rsid w:val="00784A78"/>
    <w:rsid w:val="00784E45"/>
    <w:rsid w:val="00786195"/>
    <w:rsid w:val="00791250"/>
    <w:rsid w:val="00792ECD"/>
    <w:rsid w:val="00793AE8"/>
    <w:rsid w:val="00796274"/>
    <w:rsid w:val="007A0011"/>
    <w:rsid w:val="007A0715"/>
    <w:rsid w:val="007A0E4C"/>
    <w:rsid w:val="007A1FF3"/>
    <w:rsid w:val="007A381A"/>
    <w:rsid w:val="007A5C50"/>
    <w:rsid w:val="007A5EF2"/>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6D8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6A7D"/>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50FE"/>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3A3D"/>
    <w:rsid w:val="00875238"/>
    <w:rsid w:val="00881F1B"/>
    <w:rsid w:val="00882C71"/>
    <w:rsid w:val="0088563C"/>
    <w:rsid w:val="00886189"/>
    <w:rsid w:val="00887A7F"/>
    <w:rsid w:val="008903B1"/>
    <w:rsid w:val="00892D5D"/>
    <w:rsid w:val="00894924"/>
    <w:rsid w:val="00895D7A"/>
    <w:rsid w:val="008A0D92"/>
    <w:rsid w:val="008A1DE6"/>
    <w:rsid w:val="008A4401"/>
    <w:rsid w:val="008A475A"/>
    <w:rsid w:val="008A61B8"/>
    <w:rsid w:val="008B48D4"/>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8F6F44"/>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2C0C"/>
    <w:rsid w:val="009832EF"/>
    <w:rsid w:val="009921AD"/>
    <w:rsid w:val="009931C3"/>
    <w:rsid w:val="00993CD6"/>
    <w:rsid w:val="009940D7"/>
    <w:rsid w:val="00994546"/>
    <w:rsid w:val="00996E82"/>
    <w:rsid w:val="009A069D"/>
    <w:rsid w:val="009A13F7"/>
    <w:rsid w:val="009A6DC4"/>
    <w:rsid w:val="009B14C9"/>
    <w:rsid w:val="009B4190"/>
    <w:rsid w:val="009B4595"/>
    <w:rsid w:val="009B535E"/>
    <w:rsid w:val="009C1906"/>
    <w:rsid w:val="009C22B7"/>
    <w:rsid w:val="009C266F"/>
    <w:rsid w:val="009C31B4"/>
    <w:rsid w:val="009C5782"/>
    <w:rsid w:val="009C58FC"/>
    <w:rsid w:val="009C6851"/>
    <w:rsid w:val="009C73EF"/>
    <w:rsid w:val="009D0840"/>
    <w:rsid w:val="009D2EED"/>
    <w:rsid w:val="009D40FF"/>
    <w:rsid w:val="009D536D"/>
    <w:rsid w:val="009D5440"/>
    <w:rsid w:val="009D66D0"/>
    <w:rsid w:val="009E195E"/>
    <w:rsid w:val="009E22AC"/>
    <w:rsid w:val="009E4B1E"/>
    <w:rsid w:val="009E6339"/>
    <w:rsid w:val="009F07A9"/>
    <w:rsid w:val="009F1876"/>
    <w:rsid w:val="009F1912"/>
    <w:rsid w:val="009F2FCB"/>
    <w:rsid w:val="009F3DDB"/>
    <w:rsid w:val="009F4FD0"/>
    <w:rsid w:val="009F5D6C"/>
    <w:rsid w:val="009F6918"/>
    <w:rsid w:val="009F7B05"/>
    <w:rsid w:val="00A05666"/>
    <w:rsid w:val="00A05A08"/>
    <w:rsid w:val="00A06C73"/>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3778"/>
    <w:rsid w:val="00A5389B"/>
    <w:rsid w:val="00A538CC"/>
    <w:rsid w:val="00A53FAF"/>
    <w:rsid w:val="00A54679"/>
    <w:rsid w:val="00A5710F"/>
    <w:rsid w:val="00A57C12"/>
    <w:rsid w:val="00A65EE7"/>
    <w:rsid w:val="00A66D38"/>
    <w:rsid w:val="00A70110"/>
    <w:rsid w:val="00A70169"/>
    <w:rsid w:val="00A704A9"/>
    <w:rsid w:val="00A71CD9"/>
    <w:rsid w:val="00A71E75"/>
    <w:rsid w:val="00A73EC7"/>
    <w:rsid w:val="00A76192"/>
    <w:rsid w:val="00A775AD"/>
    <w:rsid w:val="00A77662"/>
    <w:rsid w:val="00A8194C"/>
    <w:rsid w:val="00A81AB4"/>
    <w:rsid w:val="00A8377F"/>
    <w:rsid w:val="00A850E4"/>
    <w:rsid w:val="00A86B93"/>
    <w:rsid w:val="00A91E69"/>
    <w:rsid w:val="00A93F4B"/>
    <w:rsid w:val="00A941F3"/>
    <w:rsid w:val="00A95F47"/>
    <w:rsid w:val="00A964D0"/>
    <w:rsid w:val="00AA134C"/>
    <w:rsid w:val="00AA1722"/>
    <w:rsid w:val="00AA7FD6"/>
    <w:rsid w:val="00AB6075"/>
    <w:rsid w:val="00AB683E"/>
    <w:rsid w:val="00AB689E"/>
    <w:rsid w:val="00AB6B03"/>
    <w:rsid w:val="00AB7920"/>
    <w:rsid w:val="00AB7946"/>
    <w:rsid w:val="00AC268D"/>
    <w:rsid w:val="00AC36A1"/>
    <w:rsid w:val="00AD2486"/>
    <w:rsid w:val="00AD4EEF"/>
    <w:rsid w:val="00AE1C9E"/>
    <w:rsid w:val="00AE2B58"/>
    <w:rsid w:val="00AE389C"/>
    <w:rsid w:val="00AE3FFC"/>
    <w:rsid w:val="00AE7E96"/>
    <w:rsid w:val="00AF0676"/>
    <w:rsid w:val="00AF225B"/>
    <w:rsid w:val="00AF243E"/>
    <w:rsid w:val="00AF45E0"/>
    <w:rsid w:val="00AF6CEE"/>
    <w:rsid w:val="00B006D5"/>
    <w:rsid w:val="00B0262A"/>
    <w:rsid w:val="00B037F5"/>
    <w:rsid w:val="00B052FD"/>
    <w:rsid w:val="00B07738"/>
    <w:rsid w:val="00B107A6"/>
    <w:rsid w:val="00B13B83"/>
    <w:rsid w:val="00B147EA"/>
    <w:rsid w:val="00B155B6"/>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2D0A"/>
    <w:rsid w:val="00B53446"/>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1A8"/>
    <w:rsid w:val="00B92A36"/>
    <w:rsid w:val="00B95A85"/>
    <w:rsid w:val="00B97026"/>
    <w:rsid w:val="00B9725B"/>
    <w:rsid w:val="00B97C98"/>
    <w:rsid w:val="00BA0624"/>
    <w:rsid w:val="00BA0ADC"/>
    <w:rsid w:val="00BA1DEA"/>
    <w:rsid w:val="00BA26C7"/>
    <w:rsid w:val="00BA3622"/>
    <w:rsid w:val="00BA371D"/>
    <w:rsid w:val="00BA4090"/>
    <w:rsid w:val="00BA580A"/>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B244F"/>
    <w:rsid w:val="00CB579D"/>
    <w:rsid w:val="00CB6E18"/>
    <w:rsid w:val="00CB6E2A"/>
    <w:rsid w:val="00CB7154"/>
    <w:rsid w:val="00CB770D"/>
    <w:rsid w:val="00CB7F97"/>
    <w:rsid w:val="00CC0218"/>
    <w:rsid w:val="00CC377A"/>
    <w:rsid w:val="00CC6240"/>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9F2"/>
    <w:rsid w:val="00D03378"/>
    <w:rsid w:val="00D0367C"/>
    <w:rsid w:val="00D07880"/>
    <w:rsid w:val="00D115A3"/>
    <w:rsid w:val="00D14C30"/>
    <w:rsid w:val="00D16E3A"/>
    <w:rsid w:val="00D1749E"/>
    <w:rsid w:val="00D175A0"/>
    <w:rsid w:val="00D20A05"/>
    <w:rsid w:val="00D2265D"/>
    <w:rsid w:val="00D234C5"/>
    <w:rsid w:val="00D27B11"/>
    <w:rsid w:val="00D334AD"/>
    <w:rsid w:val="00D33796"/>
    <w:rsid w:val="00D3418C"/>
    <w:rsid w:val="00D34928"/>
    <w:rsid w:val="00D409F8"/>
    <w:rsid w:val="00D40E1D"/>
    <w:rsid w:val="00D40FB2"/>
    <w:rsid w:val="00D41364"/>
    <w:rsid w:val="00D43637"/>
    <w:rsid w:val="00D44C33"/>
    <w:rsid w:val="00D5047F"/>
    <w:rsid w:val="00D5098B"/>
    <w:rsid w:val="00D53745"/>
    <w:rsid w:val="00D545F2"/>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4FFB"/>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A17BB"/>
    <w:rsid w:val="00EA21D6"/>
    <w:rsid w:val="00EA3208"/>
    <w:rsid w:val="00EA3AD6"/>
    <w:rsid w:val="00EA4579"/>
    <w:rsid w:val="00EA760E"/>
    <w:rsid w:val="00EA78B2"/>
    <w:rsid w:val="00EA7CD3"/>
    <w:rsid w:val="00EB0F28"/>
    <w:rsid w:val="00EB1DF9"/>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E5D"/>
    <w:rsid w:val="00EE775F"/>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2F3D"/>
    <w:rsid w:val="00F8564E"/>
    <w:rsid w:val="00F87A97"/>
    <w:rsid w:val="00F91F27"/>
    <w:rsid w:val="00F9229A"/>
    <w:rsid w:val="00F9260C"/>
    <w:rsid w:val="00FA202B"/>
    <w:rsid w:val="00FB242E"/>
    <w:rsid w:val="00FB3ABB"/>
    <w:rsid w:val="00FB70FA"/>
    <w:rsid w:val="00FC08B1"/>
    <w:rsid w:val="00FC33F5"/>
    <w:rsid w:val="00FC440A"/>
    <w:rsid w:val="00FC7812"/>
    <w:rsid w:val="00FD06B7"/>
    <w:rsid w:val="00FD3354"/>
    <w:rsid w:val="00FD3B9B"/>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aliases w:val="h3,H3"/>
    <w:basedOn w:val="Normal"/>
    <w:next w:val="Normal"/>
    <w:link w:val="Heading3Char"/>
    <w:uiPriority w:val="99"/>
    <w:qFormat/>
    <w:rsid w:val="00376A72"/>
    <w:pPr>
      <w:keepNext/>
      <w:spacing w:before="240" w:after="60"/>
      <w:outlineLvl w:val="2"/>
    </w:pPr>
    <w:rPr>
      <w:rFonts w:ascii="Cambria" w:hAnsi="Cambria"/>
      <w:b/>
      <w:bCs/>
      <w:sz w:val="26"/>
      <w:szCs w:val="26"/>
    </w:rPr>
  </w:style>
  <w:style w:type="paragraph" w:styleId="Heading4">
    <w:name w:val="heading 4"/>
    <w:aliases w:val="h4,H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aliases w:val="h3 Char,H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aliases w:val="h4 Char,H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paragraph" w:customStyle="1" w:styleId="ParaText">
    <w:name w:val="ParaText"/>
    <w:basedOn w:val="Normal"/>
    <w:link w:val="ParaTextChar"/>
    <w:uiPriority w:val="99"/>
    <w:rsid w:val="00806A7D"/>
    <w:pPr>
      <w:spacing w:after="120" w:line="300" w:lineRule="auto"/>
      <w:jc w:val="both"/>
    </w:pPr>
    <w:rPr>
      <w:szCs w:val="20"/>
    </w:rPr>
  </w:style>
  <w:style w:type="character" w:customStyle="1" w:styleId="ParaTextChar">
    <w:name w:val="ParaText Char"/>
    <w:basedOn w:val="DefaultParagraphFont"/>
    <w:link w:val="ParaText"/>
    <w:uiPriority w:val="99"/>
    <w:rsid w:val="00806A7D"/>
    <w:rPr>
      <w:sz w:val="24"/>
    </w:rPr>
  </w:style>
</w:styles>
</file>

<file path=word/webSettings.xml><?xml version="1.0" encoding="utf-8"?>
<w:webSettings xmlns:r="http://schemas.openxmlformats.org/officeDocument/2006/relationships" xmlns:w="http://schemas.openxmlformats.org/wordprocessingml/2006/main">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simpson@s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FD77E-1030-49F0-A58A-76A94CCAD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2275</Words>
  <Characters>12969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15214</CharactersWithSpaces>
  <SharedDoc>false</SharedDoc>
  <HLinks>
    <vt:vector size="6" baseType="variant">
      <vt:variant>
        <vt:i4>1769509</vt:i4>
      </vt:variant>
      <vt:variant>
        <vt:i4>4</vt:i4>
      </vt:variant>
      <vt:variant>
        <vt:i4>0</vt:i4>
      </vt:variant>
      <vt:variant>
        <vt:i4>5</vt:i4>
      </vt:variant>
      <vt:variant>
        <vt:lpwstr>mailto:csimpson@spp.org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Marisa Choate</dc:creator>
  <cp:keywords/>
  <dc:description/>
  <cp:lastModifiedBy>Marisa Choate</cp:lastModifiedBy>
  <cp:revision>3</cp:revision>
  <cp:lastPrinted>2010-04-20T23:10:00Z</cp:lastPrinted>
  <dcterms:created xsi:type="dcterms:W3CDTF">2011-09-29T13:42:00Z</dcterms:created>
  <dcterms:modified xsi:type="dcterms:W3CDTF">2011-09-29T13:42:00Z</dcterms:modified>
</cp:coreProperties>
</file>